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5D" w:rsidRPr="001708C4" w:rsidRDefault="00BF105D" w:rsidP="00BF105D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1708C4">
        <w:rPr>
          <w:rFonts w:ascii="Times New Roman" w:eastAsia="Times New Roman" w:hAnsi="Times New Roman"/>
          <w:sz w:val="24"/>
        </w:rPr>
        <w:t>Pielikums Nr.1</w:t>
      </w:r>
    </w:p>
    <w:p w:rsidR="00BF105D" w:rsidRPr="001708C4" w:rsidRDefault="00BF105D" w:rsidP="00BF105D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1708C4">
        <w:rPr>
          <w:rFonts w:ascii="Times New Roman" w:hAnsi="Times New Roman"/>
          <w:sz w:val="24"/>
          <w:szCs w:val="24"/>
        </w:rPr>
        <w:t>.11.2020</w:t>
      </w:r>
      <w:r w:rsidRPr="001708C4">
        <w:rPr>
          <w:rFonts w:ascii="Times New Roman" w:eastAsia="Times New Roman" w:hAnsi="Times New Roman"/>
          <w:sz w:val="24"/>
        </w:rPr>
        <w:t>.</w:t>
      </w:r>
    </w:p>
    <w:p w:rsidR="00BF105D" w:rsidRDefault="00BF105D" w:rsidP="00BF10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105D" w:rsidRPr="001A1497" w:rsidRDefault="00BF105D" w:rsidP="00BF105D">
      <w:pPr>
        <w:jc w:val="center"/>
        <w:rPr>
          <w:rFonts w:ascii="Times New Roman" w:hAnsi="Times New Roman"/>
          <w:b/>
          <w:sz w:val="24"/>
          <w:szCs w:val="24"/>
        </w:rPr>
      </w:pPr>
      <w:r w:rsidRPr="001A1497">
        <w:rPr>
          <w:rFonts w:ascii="Times New Roman" w:hAnsi="Times New Roman"/>
          <w:b/>
          <w:sz w:val="24"/>
          <w:szCs w:val="24"/>
        </w:rPr>
        <w:t>TEHNISKĀS SPECIFIKĀCIJAS</w:t>
      </w:r>
    </w:p>
    <w:p w:rsidR="00BF105D" w:rsidRPr="001A1497" w:rsidRDefault="00BF105D" w:rsidP="00BF105D">
      <w:pPr>
        <w:pStyle w:val="Sarakstarindkop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1497">
        <w:rPr>
          <w:rFonts w:ascii="Times New Roman" w:hAnsi="Times New Roman"/>
          <w:b/>
          <w:sz w:val="24"/>
          <w:szCs w:val="24"/>
        </w:rPr>
        <w:t>Darba uzdevums:</w:t>
      </w:r>
    </w:p>
    <w:p w:rsidR="00BF105D" w:rsidRPr="001A1497" w:rsidRDefault="00BF105D" w:rsidP="00BF1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1497">
        <w:rPr>
          <w:rFonts w:ascii="Times New Roman" w:hAnsi="Times New Roman"/>
          <w:sz w:val="24"/>
          <w:szCs w:val="24"/>
        </w:rPr>
        <w:t>Pašvaldības SIA “Ventspils siltums” ir 4 objekti</w:t>
      </w:r>
      <w:r>
        <w:rPr>
          <w:rFonts w:ascii="Times New Roman" w:hAnsi="Times New Roman"/>
          <w:sz w:val="24"/>
          <w:szCs w:val="24"/>
        </w:rPr>
        <w:t>, kuri</w:t>
      </w:r>
      <w:r w:rsidRPr="001A1497">
        <w:rPr>
          <w:rFonts w:ascii="Times New Roman" w:hAnsi="Times New Roman"/>
          <w:sz w:val="24"/>
          <w:szCs w:val="24"/>
        </w:rPr>
        <w:t xml:space="preserve"> ir nodrošināt</w:t>
      </w:r>
      <w:r>
        <w:rPr>
          <w:rFonts w:ascii="Times New Roman" w:hAnsi="Times New Roman"/>
          <w:sz w:val="24"/>
          <w:szCs w:val="24"/>
        </w:rPr>
        <w:t>i</w:t>
      </w:r>
      <w:r w:rsidRPr="001A1497">
        <w:rPr>
          <w:rFonts w:ascii="Times New Roman" w:hAnsi="Times New Roman"/>
          <w:sz w:val="24"/>
          <w:szCs w:val="24"/>
        </w:rPr>
        <w:t xml:space="preserve"> ar telefonu sakariem izmantojot IP telefoniju un telefoncentrāli </w:t>
      </w:r>
      <w:proofErr w:type="spellStart"/>
      <w:r w:rsidRPr="001A1497">
        <w:rPr>
          <w:rFonts w:ascii="Times New Roman" w:hAnsi="Times New Roman"/>
          <w:sz w:val="24"/>
          <w:szCs w:val="24"/>
        </w:rPr>
        <w:t>Matra</w:t>
      </w:r>
      <w:proofErr w:type="spellEnd"/>
      <w:r w:rsidRPr="001A1497">
        <w:rPr>
          <w:rFonts w:ascii="Times New Roman" w:hAnsi="Times New Roman"/>
          <w:sz w:val="24"/>
          <w:szCs w:val="24"/>
        </w:rPr>
        <w:t xml:space="preserve"> 6304. </w:t>
      </w:r>
    </w:p>
    <w:p w:rsidR="00BF105D" w:rsidRPr="001A1497" w:rsidRDefault="00BF105D" w:rsidP="00BF1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1497">
        <w:rPr>
          <w:rFonts w:ascii="Times New Roman" w:hAnsi="Times New Roman"/>
          <w:sz w:val="24"/>
          <w:szCs w:val="24"/>
        </w:rPr>
        <w:t xml:space="preserve">IP telefonija tika izveidota 2015. gadā uz </w:t>
      </w:r>
      <w:proofErr w:type="spellStart"/>
      <w:r w:rsidRPr="001A1497">
        <w:rPr>
          <w:rFonts w:ascii="Times New Roman" w:hAnsi="Times New Roman"/>
          <w:sz w:val="24"/>
          <w:szCs w:val="24"/>
        </w:rPr>
        <w:t>Asterisk</w:t>
      </w:r>
      <w:proofErr w:type="spellEnd"/>
      <w:r w:rsidRPr="001A1497">
        <w:rPr>
          <w:rFonts w:ascii="Times New Roman" w:hAnsi="Times New Roman"/>
          <w:sz w:val="24"/>
          <w:szCs w:val="24"/>
        </w:rPr>
        <w:t xml:space="preserve"> programatūras bāzes un apvieno 12 tālruņu aparāt</w:t>
      </w:r>
      <w:r>
        <w:rPr>
          <w:rFonts w:ascii="Times New Roman" w:hAnsi="Times New Roman"/>
          <w:sz w:val="24"/>
          <w:szCs w:val="24"/>
        </w:rPr>
        <w:t>us</w:t>
      </w:r>
      <w:r w:rsidRPr="001A1497">
        <w:rPr>
          <w:rFonts w:ascii="Times New Roman" w:hAnsi="Times New Roman"/>
          <w:sz w:val="24"/>
          <w:szCs w:val="24"/>
        </w:rPr>
        <w:t xml:space="preserve"> divos objektos.</w:t>
      </w:r>
    </w:p>
    <w:p w:rsidR="00BF105D" w:rsidRPr="001A1497" w:rsidRDefault="00BF105D" w:rsidP="00BF1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1497">
        <w:rPr>
          <w:rFonts w:ascii="Times New Roman" w:hAnsi="Times New Roman"/>
          <w:sz w:val="24"/>
          <w:szCs w:val="24"/>
        </w:rPr>
        <w:t>Pretendentam ir jāpaplašina esoš</w:t>
      </w:r>
      <w:r>
        <w:rPr>
          <w:rFonts w:ascii="Times New Roman" w:hAnsi="Times New Roman"/>
          <w:sz w:val="24"/>
          <w:szCs w:val="24"/>
        </w:rPr>
        <w:t>ā</w:t>
      </w:r>
      <w:r w:rsidRPr="001A1497">
        <w:rPr>
          <w:rFonts w:ascii="Times New Roman" w:hAnsi="Times New Roman"/>
          <w:sz w:val="24"/>
          <w:szCs w:val="24"/>
        </w:rPr>
        <w:t xml:space="preserve"> IP telefonij</w:t>
      </w:r>
      <w:r>
        <w:rPr>
          <w:rFonts w:ascii="Times New Roman" w:hAnsi="Times New Roman"/>
          <w:sz w:val="24"/>
          <w:szCs w:val="24"/>
        </w:rPr>
        <w:t>a</w:t>
      </w:r>
      <w:r w:rsidRPr="001A1497">
        <w:rPr>
          <w:rFonts w:ascii="Times New Roman" w:hAnsi="Times New Roman"/>
          <w:sz w:val="24"/>
          <w:szCs w:val="24"/>
        </w:rPr>
        <w:t xml:space="preserve"> saglabājot tās esošo funkcionalitāti visiem pieslēgtiem</w:t>
      </w:r>
      <w:r>
        <w:rPr>
          <w:rFonts w:ascii="Times New Roman" w:hAnsi="Times New Roman"/>
          <w:sz w:val="24"/>
          <w:szCs w:val="24"/>
        </w:rPr>
        <w:t xml:space="preserve"> un pieslēdzamiem</w:t>
      </w:r>
      <w:r w:rsidRPr="001A1497">
        <w:rPr>
          <w:rFonts w:ascii="Times New Roman" w:hAnsi="Times New Roman"/>
          <w:sz w:val="24"/>
          <w:szCs w:val="24"/>
        </w:rPr>
        <w:t xml:space="preserve"> telefonu aparātiem un saglabājot esošo numerāciju.</w:t>
      </w:r>
    </w:p>
    <w:p w:rsidR="00BF105D" w:rsidRPr="001A1497" w:rsidRDefault="00BF105D" w:rsidP="00BF1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1497">
        <w:rPr>
          <w:rFonts w:ascii="Times New Roman" w:hAnsi="Times New Roman"/>
          <w:sz w:val="24"/>
          <w:szCs w:val="24"/>
        </w:rPr>
        <w:t>Pretendentam ir jānomaina esoš</w:t>
      </w:r>
      <w:r>
        <w:rPr>
          <w:rFonts w:ascii="Times New Roman" w:hAnsi="Times New Roman"/>
          <w:sz w:val="24"/>
          <w:szCs w:val="24"/>
        </w:rPr>
        <w:t>ās</w:t>
      </w:r>
      <w:r w:rsidRPr="001A1497">
        <w:rPr>
          <w:rFonts w:ascii="Times New Roman" w:hAnsi="Times New Roman"/>
          <w:sz w:val="24"/>
          <w:szCs w:val="24"/>
        </w:rPr>
        <w:t xml:space="preserve"> IP telefonijas darba stacij</w:t>
      </w:r>
      <w:r>
        <w:rPr>
          <w:rFonts w:ascii="Times New Roman" w:hAnsi="Times New Roman"/>
          <w:sz w:val="24"/>
          <w:szCs w:val="24"/>
        </w:rPr>
        <w:t>a</w:t>
      </w:r>
      <w:r w:rsidRPr="001A1497">
        <w:rPr>
          <w:rFonts w:ascii="Times New Roman" w:hAnsi="Times New Roman"/>
          <w:sz w:val="24"/>
          <w:szCs w:val="24"/>
        </w:rPr>
        <w:t>.</w:t>
      </w:r>
    </w:p>
    <w:p w:rsidR="00BF105D" w:rsidRPr="001A1497" w:rsidRDefault="00BF105D" w:rsidP="00BF1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1497">
        <w:rPr>
          <w:rFonts w:ascii="Times New Roman" w:hAnsi="Times New Roman"/>
          <w:sz w:val="24"/>
          <w:szCs w:val="24"/>
        </w:rPr>
        <w:t>Pasūtījums ietver:</w:t>
      </w:r>
    </w:p>
    <w:p w:rsidR="00BF105D" w:rsidRPr="001A1497" w:rsidRDefault="00BF105D" w:rsidP="00BF105D">
      <w:pPr>
        <w:numPr>
          <w:ilvl w:val="1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1497">
        <w:rPr>
          <w:rFonts w:ascii="Times New Roman" w:eastAsia="Times New Roman" w:hAnsi="Times New Roman"/>
          <w:sz w:val="24"/>
          <w:szCs w:val="24"/>
        </w:rPr>
        <w:t xml:space="preserve">Pretendentam jānodrošina </w:t>
      </w:r>
      <w:r w:rsidRPr="001A1497">
        <w:rPr>
          <w:rFonts w:ascii="Times New Roman" w:eastAsia="Times New Roman" w:hAnsi="Times New Roman"/>
          <w:bCs/>
          <w:sz w:val="24"/>
          <w:szCs w:val="24"/>
        </w:rPr>
        <w:t xml:space="preserve">IP telefonu aparātu un darba stacijas </w:t>
      </w:r>
      <w:r w:rsidRPr="001A1497">
        <w:rPr>
          <w:rFonts w:ascii="Times New Roman" w:eastAsia="Times New Roman" w:hAnsi="Times New Roman"/>
          <w:sz w:val="24"/>
          <w:szCs w:val="24"/>
        </w:rPr>
        <w:t>iegāde, piegāde</w:t>
      </w:r>
      <w:r w:rsidRPr="001A149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A1497">
        <w:rPr>
          <w:rFonts w:ascii="Times New Roman" w:eastAsia="Times New Roman" w:hAnsi="Times New Roman"/>
          <w:sz w:val="24"/>
          <w:szCs w:val="24"/>
        </w:rPr>
        <w:t>saskaņā ar Pasūtītāja prasībām, Talsu ielā 84, Ventspilī.</w:t>
      </w:r>
    </w:p>
    <w:p w:rsidR="00BF105D" w:rsidRPr="001A1497" w:rsidRDefault="00BF105D" w:rsidP="00BF105D">
      <w:pPr>
        <w:numPr>
          <w:ilvl w:val="1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1497">
        <w:rPr>
          <w:rFonts w:ascii="Times New Roman" w:eastAsia="Times New Roman" w:hAnsi="Times New Roman"/>
          <w:bCs/>
          <w:sz w:val="24"/>
          <w:szCs w:val="24"/>
        </w:rPr>
        <w:t>Piegādājamiem telefonu aparātiem ir jābūt no viena ražotāja.</w:t>
      </w:r>
    </w:p>
    <w:p w:rsidR="00BF105D" w:rsidRPr="001A1497" w:rsidRDefault="00BF105D" w:rsidP="00BF105D">
      <w:pPr>
        <w:numPr>
          <w:ilvl w:val="1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1A1497">
        <w:rPr>
          <w:rFonts w:ascii="Times New Roman" w:eastAsia="Times New Roman" w:hAnsi="Times New Roman"/>
          <w:sz w:val="24"/>
          <w:szCs w:val="24"/>
        </w:rPr>
        <w:t>Pretendentam jāveic piegādātās aparatūras uzstādīšana, konfigurēšana un nepieciešamo palīgdarbu (kabeļu ievilkšana, kabeļu penāļu uzstādīšana u.tml.) veikšana (izmaksās ietverot arī materiālu cenas) lietotāju darba vietās:</w:t>
      </w:r>
    </w:p>
    <w:p w:rsidR="00BF105D" w:rsidRPr="001A1497" w:rsidRDefault="00BF105D" w:rsidP="00BF105D">
      <w:pPr>
        <w:pStyle w:val="Sarakstarindkop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1497">
        <w:rPr>
          <w:rFonts w:ascii="Times New Roman" w:eastAsia="Times New Roman" w:hAnsi="Times New Roman"/>
          <w:sz w:val="24"/>
          <w:szCs w:val="24"/>
        </w:rPr>
        <w:t xml:space="preserve">Talsu ielā 84, (2 ēkas) – 20 </w:t>
      </w:r>
      <w:proofErr w:type="spellStart"/>
      <w:r w:rsidRPr="001A1497">
        <w:rPr>
          <w:rFonts w:ascii="Times New Roman" w:eastAsia="Times New Roman" w:hAnsi="Times New Roman"/>
          <w:sz w:val="24"/>
          <w:szCs w:val="24"/>
        </w:rPr>
        <w:t>gab</w:t>
      </w:r>
      <w:proofErr w:type="spellEnd"/>
      <w:r w:rsidRPr="001A1497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BF105D" w:rsidRPr="001A1497" w:rsidRDefault="00BF105D" w:rsidP="00BF105D">
      <w:pPr>
        <w:pStyle w:val="Sarakstarindkop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1497">
        <w:rPr>
          <w:rFonts w:ascii="Times New Roman" w:eastAsia="Times New Roman" w:hAnsi="Times New Roman"/>
          <w:sz w:val="24"/>
          <w:szCs w:val="24"/>
        </w:rPr>
        <w:t xml:space="preserve">Talsu ielā 69, (2 ēkas)  – 7 </w:t>
      </w:r>
      <w:proofErr w:type="spellStart"/>
      <w:r w:rsidRPr="001A1497">
        <w:rPr>
          <w:rFonts w:ascii="Times New Roman" w:eastAsia="Times New Roman" w:hAnsi="Times New Roman"/>
          <w:sz w:val="24"/>
          <w:szCs w:val="24"/>
        </w:rPr>
        <w:t>gab</w:t>
      </w:r>
      <w:proofErr w:type="spellEnd"/>
      <w:r w:rsidRPr="001A1497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BF105D" w:rsidRPr="001A1497" w:rsidRDefault="00BF105D" w:rsidP="00BF105D">
      <w:pPr>
        <w:pStyle w:val="Sarakstarindkop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1497">
        <w:rPr>
          <w:rFonts w:ascii="Times New Roman" w:eastAsia="Times New Roman" w:hAnsi="Times New Roman"/>
          <w:sz w:val="24"/>
          <w:szCs w:val="24"/>
        </w:rPr>
        <w:t>Brīvības ielā 38 – 2 gab.</w:t>
      </w:r>
    </w:p>
    <w:p w:rsidR="00BF105D" w:rsidRPr="001A1497" w:rsidRDefault="00BF105D" w:rsidP="00BF105D">
      <w:pPr>
        <w:numPr>
          <w:ilvl w:val="1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1A1497">
        <w:rPr>
          <w:rFonts w:ascii="Times New Roman" w:eastAsia="Times New Roman" w:hAnsi="Times New Roman"/>
          <w:sz w:val="24"/>
          <w:szCs w:val="24"/>
        </w:rPr>
        <w:t>Visam piedāvātajam aprīkojumam jānodrošina vismaz 2 gadus ilgs garantijas periods, ar bojāto komponentu nomaiņu divu darba dienu laikā. Garantija datorprogrammai saskaņā ar programmas ražotāja noteikto.</w:t>
      </w:r>
    </w:p>
    <w:p w:rsidR="00BF105D" w:rsidRPr="001A1497" w:rsidRDefault="00BF105D" w:rsidP="00BF105D">
      <w:pPr>
        <w:numPr>
          <w:ilvl w:val="1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1A1497">
        <w:rPr>
          <w:rFonts w:ascii="Times New Roman" w:eastAsia="Times New Roman" w:hAnsi="Times New Roman"/>
          <w:sz w:val="24"/>
          <w:szCs w:val="24"/>
        </w:rPr>
        <w:t>Piegādātājam garantijas laikā ir jānodrošina garantijas apkalpošanas serviss un garantijas remontdarbu veikšana. Piegādātājs garantijas apkalpošanu veic telpās, kurās tiek lietots iepirkuma priekšmets.</w:t>
      </w:r>
    </w:p>
    <w:p w:rsidR="00BF105D" w:rsidRPr="001A1497" w:rsidRDefault="00BF105D" w:rsidP="00BF105D">
      <w:pPr>
        <w:numPr>
          <w:ilvl w:val="1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1A1497">
        <w:rPr>
          <w:rFonts w:ascii="Times New Roman" w:eastAsia="Times New Roman" w:hAnsi="Times New Roman"/>
          <w:sz w:val="24"/>
          <w:szCs w:val="24"/>
        </w:rPr>
        <w:t>Piegādātājs apņemas Pasūtītāja darbiniekiem vai Pasūtītāja nozīmētām kontaktpersonām sniegt bezmaksas konsultācijas sistēmas garantijas apkalpošanas laikā par jautājumiem, kas saistīti ar Preces ekspluatāciju, pa telefonu vai e-pastu.</w:t>
      </w:r>
    </w:p>
    <w:p w:rsidR="00BF105D" w:rsidRDefault="00BF105D" w:rsidP="00BF105D">
      <w:pPr>
        <w:numPr>
          <w:ilvl w:val="1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1A1497">
        <w:rPr>
          <w:rFonts w:ascii="Times New Roman" w:eastAsia="Times New Roman" w:hAnsi="Times New Roman"/>
          <w:sz w:val="24"/>
          <w:szCs w:val="24"/>
        </w:rPr>
        <w:t>Obligātās prasības visām iepirkuma priekšmeta iekārtām:</w:t>
      </w:r>
    </w:p>
    <w:p w:rsidR="00BF105D" w:rsidRPr="001A1497" w:rsidRDefault="00BF105D" w:rsidP="00BF105D">
      <w:pPr>
        <w:numPr>
          <w:ilvl w:val="2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1497">
        <w:rPr>
          <w:rFonts w:ascii="Times New Roman" w:eastAsia="Times New Roman" w:hAnsi="Times New Roman"/>
          <w:sz w:val="24"/>
          <w:szCs w:val="24"/>
        </w:rPr>
        <w:t>iekārtas barošanas spriegums - 220V, 50 Hz,</w:t>
      </w:r>
    </w:p>
    <w:p w:rsidR="00BF105D" w:rsidRPr="001A1497" w:rsidRDefault="00BF105D" w:rsidP="00BF105D">
      <w:pPr>
        <w:numPr>
          <w:ilvl w:val="2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1497">
        <w:rPr>
          <w:rFonts w:ascii="Times New Roman" w:eastAsia="Times New Roman" w:hAnsi="Times New Roman"/>
          <w:sz w:val="24"/>
          <w:szCs w:val="24"/>
        </w:rPr>
        <w:t>iekārtā nav iebūvētas lietotas vai atjaunotas detaļas;</w:t>
      </w:r>
    </w:p>
    <w:p w:rsidR="00BF105D" w:rsidRPr="001A1497" w:rsidRDefault="00BF105D" w:rsidP="00BF105D">
      <w:pPr>
        <w:numPr>
          <w:ilvl w:val="2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1497">
        <w:rPr>
          <w:rFonts w:ascii="Times New Roman" w:eastAsia="Times New Roman" w:hAnsi="Times New Roman"/>
          <w:sz w:val="24"/>
          <w:szCs w:val="24"/>
        </w:rPr>
        <w:t>iekārta nav atradusies lietošanā vai demonstrācijā;</w:t>
      </w:r>
    </w:p>
    <w:p w:rsidR="00BF105D" w:rsidRPr="001A1497" w:rsidRDefault="00BF105D" w:rsidP="00BF105D">
      <w:pPr>
        <w:numPr>
          <w:ilvl w:val="2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1497">
        <w:rPr>
          <w:rFonts w:ascii="Times New Roman" w:eastAsia="Times New Roman" w:hAnsi="Times New Roman"/>
          <w:sz w:val="24"/>
          <w:szCs w:val="24"/>
        </w:rPr>
        <w:t>iekārta atbilst LR MK 05.02.2013. noteikumiem Nr. 84 „Noteikumi par atsevišķu ķīmisku vielu lietošanas ierobežojumiem elektriskajās un elektroniskajās iekārtās” to jaunākajā redakcijā;</w:t>
      </w:r>
    </w:p>
    <w:p w:rsidR="00BF105D" w:rsidRDefault="00BF105D" w:rsidP="00BF105D">
      <w:pPr>
        <w:numPr>
          <w:ilvl w:val="2"/>
          <w:numId w:val="3"/>
        </w:numPr>
        <w:spacing w:after="0" w:line="276" w:lineRule="auto"/>
        <w:ind w:left="1418"/>
        <w:contextualSpacing/>
        <w:rPr>
          <w:rFonts w:ascii="Times New Roman" w:eastAsia="Times New Roman" w:hAnsi="Times New Roman"/>
          <w:sz w:val="24"/>
          <w:szCs w:val="24"/>
        </w:rPr>
      </w:pPr>
      <w:r w:rsidRPr="001A1497">
        <w:rPr>
          <w:rFonts w:ascii="Times New Roman" w:eastAsia="Times New Roman" w:hAnsi="Times New Roman"/>
          <w:sz w:val="24"/>
          <w:szCs w:val="24"/>
        </w:rPr>
        <w:t>iekārta atbilst Eiropas CE standartu prasībām.</w:t>
      </w:r>
    </w:p>
    <w:p w:rsidR="00BF105D" w:rsidRPr="001A1497" w:rsidRDefault="00BF105D" w:rsidP="00BF105D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Lai precizētu darba apjomus Pretendentam vēlams iepazīties ar esošo situāciju objektos sazinoties ar kontaktpersonu.</w:t>
      </w:r>
    </w:p>
    <w:p w:rsidR="00BF105D" w:rsidRPr="001216BB" w:rsidRDefault="00BF105D" w:rsidP="00BF105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216BB">
        <w:rPr>
          <w:rFonts w:ascii="Times New Roman" w:hAnsi="Times New Roman"/>
          <w:b/>
          <w:sz w:val="24"/>
          <w:szCs w:val="24"/>
        </w:rPr>
        <w:t>Prasības:</w:t>
      </w:r>
    </w:p>
    <w:p w:rsidR="00BF105D" w:rsidRPr="001216BB" w:rsidRDefault="00BF105D" w:rsidP="00BF105D">
      <w:pPr>
        <w:numPr>
          <w:ilvl w:val="1"/>
          <w:numId w:val="1"/>
        </w:numPr>
        <w:spacing w:after="0" w:line="276" w:lineRule="auto"/>
        <w:ind w:hanging="578"/>
        <w:jc w:val="both"/>
        <w:rPr>
          <w:rFonts w:ascii="Times New Roman" w:eastAsia="Times New Roman" w:hAnsi="Times New Roman"/>
          <w:sz w:val="24"/>
          <w:szCs w:val="24"/>
        </w:rPr>
      </w:pPr>
      <w:r w:rsidRPr="001216BB">
        <w:rPr>
          <w:rFonts w:ascii="Times New Roman" w:hAnsi="Times New Roman"/>
          <w:sz w:val="24"/>
          <w:szCs w:val="24"/>
        </w:rPr>
        <w:t xml:space="preserve">Garantijas termiņš – ne mazāks par 2 gadiem gan darbiem, gan materiāliem; </w:t>
      </w:r>
    </w:p>
    <w:p w:rsidR="00BF105D" w:rsidRPr="001216BB" w:rsidRDefault="00BF105D" w:rsidP="00BF105D">
      <w:pPr>
        <w:numPr>
          <w:ilvl w:val="1"/>
          <w:numId w:val="1"/>
        </w:numPr>
        <w:spacing w:after="0" w:line="276" w:lineRule="auto"/>
        <w:ind w:hanging="578"/>
        <w:jc w:val="both"/>
        <w:rPr>
          <w:rFonts w:ascii="Times New Roman" w:eastAsia="Times New Roman" w:hAnsi="Times New Roman"/>
          <w:sz w:val="24"/>
          <w:szCs w:val="24"/>
        </w:rPr>
      </w:pPr>
      <w:r w:rsidRPr="001216BB">
        <w:rPr>
          <w:rFonts w:ascii="Times New Roman" w:hAnsi="Times New Roman"/>
          <w:sz w:val="24"/>
          <w:szCs w:val="24"/>
        </w:rPr>
        <w:t xml:space="preserve">Darbu izpildes termiņš ieskaitot iekārtu un materiālu iegādi un piegādi – </w:t>
      </w:r>
      <w:r>
        <w:rPr>
          <w:rFonts w:ascii="Times New Roman" w:hAnsi="Times New Roman"/>
          <w:sz w:val="24"/>
          <w:szCs w:val="24"/>
        </w:rPr>
        <w:t>30 kalendāro dienu</w:t>
      </w:r>
      <w:r w:rsidRPr="001216BB">
        <w:rPr>
          <w:rFonts w:ascii="Times New Roman" w:hAnsi="Times New Roman"/>
          <w:sz w:val="24"/>
          <w:szCs w:val="24"/>
        </w:rPr>
        <w:t xml:space="preserve"> laikā no līguma noslēgšanas brīža.</w:t>
      </w:r>
    </w:p>
    <w:p w:rsidR="00BF105D" w:rsidRPr="001216BB" w:rsidRDefault="00BF105D" w:rsidP="00BF105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216BB">
        <w:rPr>
          <w:rFonts w:ascii="Times New Roman" w:hAnsi="Times New Roman"/>
          <w:b/>
          <w:sz w:val="24"/>
          <w:szCs w:val="24"/>
        </w:rPr>
        <w:lastRenderedPageBreak/>
        <w:t>Iesniedzamie dokumenti:</w:t>
      </w:r>
    </w:p>
    <w:p w:rsidR="00BF105D" w:rsidRPr="001216BB" w:rsidRDefault="00BF105D" w:rsidP="00BF105D">
      <w:pPr>
        <w:numPr>
          <w:ilvl w:val="1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1216BB">
        <w:rPr>
          <w:rFonts w:ascii="Times New Roman" w:hAnsi="Times New Roman"/>
          <w:sz w:val="24"/>
          <w:szCs w:val="24"/>
        </w:rPr>
        <w:t>Pretendenta pieteikums saskaņā ar punktiem Nr.1, Nr.2;</w:t>
      </w:r>
    </w:p>
    <w:p w:rsidR="00BF105D" w:rsidRPr="001216BB" w:rsidRDefault="00BF105D" w:rsidP="00BF105D">
      <w:pPr>
        <w:numPr>
          <w:ilvl w:val="1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1216BB">
        <w:rPr>
          <w:rFonts w:ascii="Times New Roman" w:hAnsi="Times New Roman"/>
          <w:sz w:val="24"/>
          <w:szCs w:val="24"/>
        </w:rPr>
        <w:t>Apliecinājums, ka Pretendents un tā personāls ir tiesīgs veikt punktā Nr.1 aprakstītos darbus;</w:t>
      </w:r>
    </w:p>
    <w:p w:rsidR="00BF105D" w:rsidRPr="00670077" w:rsidRDefault="00BF105D" w:rsidP="00BF105D">
      <w:pPr>
        <w:numPr>
          <w:ilvl w:val="1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1216BB">
        <w:rPr>
          <w:rFonts w:ascii="Times New Roman" w:hAnsi="Times New Roman"/>
          <w:sz w:val="24"/>
          <w:szCs w:val="24"/>
        </w:rPr>
        <w:t xml:space="preserve">Pēdējo 3 gadu laikā ir veicis iepriekš minētos darbus vismaz </w:t>
      </w:r>
      <w:r>
        <w:rPr>
          <w:rFonts w:ascii="Times New Roman" w:hAnsi="Times New Roman"/>
          <w:sz w:val="24"/>
          <w:szCs w:val="24"/>
        </w:rPr>
        <w:t>1</w:t>
      </w:r>
      <w:r w:rsidRPr="001216BB">
        <w:rPr>
          <w:rFonts w:ascii="Times New Roman" w:hAnsi="Times New Roman"/>
          <w:sz w:val="24"/>
          <w:szCs w:val="24"/>
        </w:rPr>
        <w:t xml:space="preserve"> objekt</w:t>
      </w:r>
      <w:r>
        <w:rPr>
          <w:rFonts w:ascii="Times New Roman" w:hAnsi="Times New Roman"/>
          <w:sz w:val="24"/>
          <w:szCs w:val="24"/>
        </w:rPr>
        <w:t>ā</w:t>
      </w:r>
      <w:r w:rsidRPr="001216BB">
        <w:rPr>
          <w:rFonts w:ascii="Times New Roman" w:hAnsi="Times New Roman"/>
          <w:sz w:val="24"/>
          <w:szCs w:val="24"/>
        </w:rPr>
        <w:t xml:space="preserve"> (norādīt objekta nosaukumu, atrašanās vietu un kontaktpersonu</w:t>
      </w:r>
      <w:r>
        <w:rPr>
          <w:rFonts w:ascii="Times New Roman" w:hAnsi="Times New Roman"/>
          <w:sz w:val="24"/>
          <w:szCs w:val="24"/>
        </w:rPr>
        <w:t xml:space="preserve"> (telefona numurs)</w:t>
      </w:r>
      <w:r w:rsidRPr="001216BB">
        <w:rPr>
          <w:rFonts w:ascii="Times New Roman" w:hAnsi="Times New Roman"/>
          <w:sz w:val="24"/>
          <w:szCs w:val="24"/>
        </w:rPr>
        <w:t>);</w:t>
      </w:r>
    </w:p>
    <w:p w:rsidR="00BF105D" w:rsidRPr="00670077" w:rsidRDefault="00BF105D" w:rsidP="00BF105D">
      <w:pPr>
        <w:numPr>
          <w:ilvl w:val="1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70077">
        <w:rPr>
          <w:rFonts w:ascii="Times New Roman" w:hAnsi="Times New Roman"/>
          <w:b/>
          <w:sz w:val="24"/>
          <w:szCs w:val="24"/>
        </w:rPr>
        <w:t>Pamatojoties uz tehnisko specifikāciju pretendentam jāiesniedz:</w:t>
      </w:r>
    </w:p>
    <w:p w:rsidR="00BF105D" w:rsidRPr="00670077" w:rsidRDefault="00BF105D" w:rsidP="00BF105D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0077">
        <w:rPr>
          <w:rFonts w:ascii="Times New Roman" w:hAnsi="Times New Roman"/>
          <w:sz w:val="24"/>
          <w:szCs w:val="24"/>
        </w:rPr>
        <w:t>Iekārtas izmaksas;</w:t>
      </w:r>
    </w:p>
    <w:p w:rsidR="00BF105D" w:rsidRPr="00670077" w:rsidRDefault="00BF105D" w:rsidP="00BF105D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0077">
        <w:rPr>
          <w:rFonts w:ascii="Times New Roman" w:hAnsi="Times New Roman"/>
          <w:sz w:val="24"/>
          <w:szCs w:val="24"/>
        </w:rPr>
        <w:t>Sistēmas paplašināšanas izmaksas;</w:t>
      </w:r>
    </w:p>
    <w:p w:rsidR="00BF105D" w:rsidRPr="00670077" w:rsidRDefault="00BF105D" w:rsidP="00BF105D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0077">
        <w:rPr>
          <w:rFonts w:ascii="Times New Roman" w:hAnsi="Times New Roman"/>
          <w:sz w:val="24"/>
          <w:szCs w:val="24"/>
        </w:rPr>
        <w:t>Tīkla izveides izmaksas;</w:t>
      </w:r>
    </w:p>
    <w:p w:rsidR="00BF105D" w:rsidRPr="00670077" w:rsidRDefault="00BF105D" w:rsidP="00BF105D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0077">
        <w:rPr>
          <w:rFonts w:ascii="Times New Roman" w:hAnsi="Times New Roman"/>
          <w:sz w:val="24"/>
          <w:szCs w:val="24"/>
        </w:rPr>
        <w:t>Iekārtas tehniskie dati.</w:t>
      </w:r>
    </w:p>
    <w:p w:rsidR="00BF105D" w:rsidRDefault="00BF105D" w:rsidP="00BF10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05D" w:rsidRPr="001216BB" w:rsidRDefault="00BF105D" w:rsidP="00BF10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6BB">
        <w:rPr>
          <w:rFonts w:ascii="Times New Roman" w:hAnsi="Times New Roman"/>
          <w:sz w:val="24"/>
          <w:szCs w:val="24"/>
        </w:rPr>
        <w:t>Avanss nav paredzēts.</w:t>
      </w:r>
    </w:p>
    <w:p w:rsidR="00BF105D" w:rsidRPr="001216BB" w:rsidRDefault="00BF105D" w:rsidP="00BF1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6BB">
        <w:rPr>
          <w:rFonts w:ascii="Times New Roman" w:hAnsi="Times New Roman"/>
          <w:sz w:val="24"/>
          <w:szCs w:val="24"/>
        </w:rPr>
        <w:t xml:space="preserve">Papildinformācija – </w:t>
      </w:r>
      <w:r>
        <w:rPr>
          <w:rFonts w:ascii="Times New Roman" w:hAnsi="Times New Roman"/>
          <w:sz w:val="24"/>
          <w:szCs w:val="24"/>
        </w:rPr>
        <w:t>tehniskais direktors</w:t>
      </w:r>
      <w:r w:rsidRPr="001216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Eduards Bonfelds</w:t>
      </w:r>
      <w:r w:rsidRPr="001216BB">
        <w:rPr>
          <w:rFonts w:ascii="Times New Roman" w:hAnsi="Times New Roman"/>
          <w:sz w:val="24"/>
          <w:szCs w:val="24"/>
        </w:rPr>
        <w:t xml:space="preserve">, m.t. </w:t>
      </w:r>
      <w:r>
        <w:rPr>
          <w:rFonts w:ascii="Times New Roman" w:hAnsi="Times New Roman"/>
          <w:sz w:val="24"/>
          <w:szCs w:val="24"/>
        </w:rPr>
        <w:t>29394603</w:t>
      </w:r>
    </w:p>
    <w:p w:rsidR="00BF105D" w:rsidRPr="001216BB" w:rsidRDefault="00BF105D" w:rsidP="00BF105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F105D" w:rsidRPr="001216BB" w:rsidRDefault="00BF105D" w:rsidP="00BF1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6BB">
        <w:rPr>
          <w:rFonts w:ascii="Times New Roman" w:hAnsi="Times New Roman"/>
          <w:sz w:val="24"/>
          <w:szCs w:val="24"/>
        </w:rPr>
        <w:t xml:space="preserve">Piedāvājumu Cenu aptaujai var iesūtīt pa faksu 636 02210, vai pa e-pastu – </w:t>
      </w:r>
      <w:hyperlink r:id="rId5" w:history="1">
        <w:r w:rsidRPr="001216BB">
          <w:rPr>
            <w:rFonts w:ascii="Times New Roman" w:hAnsi="Times New Roman"/>
            <w:color w:val="0000FF"/>
            <w:sz w:val="24"/>
            <w:szCs w:val="24"/>
            <w:u w:val="single"/>
          </w:rPr>
          <w:t>iepirkumi.vsiltums@ventspils.lv</w:t>
        </w:r>
      </w:hyperlink>
      <w:r w:rsidRPr="001216BB">
        <w:rPr>
          <w:rFonts w:ascii="Times New Roman" w:hAnsi="Times New Roman"/>
          <w:sz w:val="24"/>
          <w:szCs w:val="24"/>
        </w:rPr>
        <w:t xml:space="preserve"> (ieskenēts piedāvājums).</w:t>
      </w:r>
    </w:p>
    <w:p w:rsidR="00BF105D" w:rsidRPr="001216BB" w:rsidRDefault="00BF105D" w:rsidP="00BF1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6BB">
        <w:rPr>
          <w:rFonts w:ascii="Times New Roman" w:hAnsi="Times New Roman"/>
          <w:sz w:val="24"/>
          <w:szCs w:val="24"/>
        </w:rPr>
        <w:t>Cenu aptaujas vērtēšanas kritērijs – zemākā cena, tehniskās prasības.</w:t>
      </w:r>
    </w:p>
    <w:p w:rsidR="00BF105D" w:rsidRPr="001216BB" w:rsidRDefault="00BF105D" w:rsidP="00BF1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6BB">
        <w:rPr>
          <w:rFonts w:ascii="Times New Roman" w:hAnsi="Times New Roman"/>
          <w:sz w:val="24"/>
          <w:szCs w:val="24"/>
        </w:rPr>
        <w:t xml:space="preserve">Cenu aptaujas piedāvājumu iesniegšanas termiņš līdz </w:t>
      </w:r>
      <w:r w:rsidRPr="001216BB">
        <w:rPr>
          <w:rFonts w:ascii="Times New Roman" w:hAnsi="Times New Roman"/>
          <w:b/>
          <w:sz w:val="24"/>
          <w:szCs w:val="24"/>
        </w:rPr>
        <w:t xml:space="preserve">2020. gada </w:t>
      </w:r>
      <w:r>
        <w:rPr>
          <w:rFonts w:ascii="Times New Roman" w:hAnsi="Times New Roman"/>
          <w:b/>
          <w:sz w:val="24"/>
          <w:szCs w:val="24"/>
        </w:rPr>
        <w:t>26</w:t>
      </w:r>
      <w:r w:rsidRPr="001216BB">
        <w:rPr>
          <w:rFonts w:ascii="Times New Roman" w:hAnsi="Times New Roman"/>
          <w:b/>
          <w:sz w:val="24"/>
          <w:szCs w:val="24"/>
        </w:rPr>
        <w:t>.novembra plkst. 14:00</w:t>
      </w:r>
      <w:r w:rsidRPr="001216BB">
        <w:rPr>
          <w:rFonts w:ascii="Times New Roman" w:hAnsi="Times New Roman"/>
          <w:sz w:val="24"/>
          <w:szCs w:val="24"/>
        </w:rPr>
        <w:t>.</w:t>
      </w:r>
    </w:p>
    <w:p w:rsidR="00BF105D" w:rsidRPr="001216BB" w:rsidRDefault="00BF105D" w:rsidP="00BF1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Pr="00670077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0077">
        <w:rPr>
          <w:rFonts w:ascii="Times New Roman" w:eastAsia="Times New Roman" w:hAnsi="Times New Roman"/>
          <w:sz w:val="24"/>
          <w:szCs w:val="24"/>
        </w:rPr>
        <w:t>Tehniskais direktors</w:t>
      </w:r>
      <w:r w:rsidRPr="00670077">
        <w:rPr>
          <w:rFonts w:ascii="Times New Roman" w:eastAsia="Times New Roman" w:hAnsi="Times New Roman"/>
          <w:sz w:val="24"/>
          <w:szCs w:val="24"/>
        </w:rPr>
        <w:tab/>
      </w:r>
      <w:r w:rsidRPr="00670077">
        <w:rPr>
          <w:rFonts w:ascii="Times New Roman" w:eastAsia="Times New Roman" w:hAnsi="Times New Roman"/>
          <w:sz w:val="24"/>
          <w:szCs w:val="24"/>
        </w:rPr>
        <w:tab/>
      </w:r>
      <w:r w:rsidRPr="00670077">
        <w:rPr>
          <w:rFonts w:ascii="Times New Roman" w:eastAsia="Times New Roman" w:hAnsi="Times New Roman"/>
          <w:sz w:val="24"/>
          <w:szCs w:val="24"/>
        </w:rPr>
        <w:tab/>
      </w:r>
      <w:r w:rsidRPr="00670077">
        <w:rPr>
          <w:rFonts w:ascii="Times New Roman" w:eastAsia="Times New Roman" w:hAnsi="Times New Roman"/>
          <w:sz w:val="24"/>
          <w:szCs w:val="24"/>
        </w:rPr>
        <w:tab/>
      </w:r>
      <w:r w:rsidRPr="00670077">
        <w:rPr>
          <w:rFonts w:ascii="Times New Roman" w:eastAsia="Times New Roman" w:hAnsi="Times New Roman"/>
          <w:sz w:val="24"/>
          <w:szCs w:val="24"/>
        </w:rPr>
        <w:tab/>
      </w:r>
      <w:r w:rsidRPr="00670077">
        <w:rPr>
          <w:rFonts w:ascii="Times New Roman" w:eastAsia="Times New Roman" w:hAnsi="Times New Roman"/>
          <w:sz w:val="24"/>
          <w:szCs w:val="24"/>
        </w:rPr>
        <w:tab/>
      </w:r>
      <w:r w:rsidRPr="00670077">
        <w:rPr>
          <w:rFonts w:ascii="Times New Roman" w:eastAsia="Times New Roman" w:hAnsi="Times New Roman"/>
          <w:sz w:val="24"/>
          <w:szCs w:val="24"/>
        </w:rPr>
        <w:tab/>
        <w:t>E.Bonfelds</w:t>
      </w: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Default="00BF105D" w:rsidP="00BF105D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5D" w:rsidRPr="001708C4" w:rsidRDefault="00BF105D" w:rsidP="00BF105D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1708C4">
        <w:rPr>
          <w:rFonts w:ascii="Times New Roman" w:eastAsia="Times New Roman" w:hAnsi="Times New Roman"/>
          <w:sz w:val="24"/>
        </w:rPr>
        <w:lastRenderedPageBreak/>
        <w:t>Pielikums Nr</w:t>
      </w:r>
      <w:r>
        <w:rPr>
          <w:rFonts w:ascii="Times New Roman" w:eastAsia="Times New Roman" w:hAnsi="Times New Roman"/>
          <w:sz w:val="24"/>
        </w:rPr>
        <w:t>2</w:t>
      </w:r>
    </w:p>
    <w:p w:rsidR="00BF105D" w:rsidRPr="001708C4" w:rsidRDefault="00BF105D" w:rsidP="00BF105D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1708C4">
        <w:rPr>
          <w:rFonts w:ascii="Times New Roman" w:hAnsi="Times New Roman"/>
          <w:sz w:val="24"/>
          <w:szCs w:val="24"/>
        </w:rPr>
        <w:t>.11.2020</w:t>
      </w:r>
      <w:r w:rsidRPr="001708C4">
        <w:rPr>
          <w:rFonts w:ascii="Times New Roman" w:eastAsia="Times New Roman" w:hAnsi="Times New Roman"/>
          <w:sz w:val="24"/>
        </w:rPr>
        <w:t>.</w:t>
      </w:r>
    </w:p>
    <w:p w:rsidR="00BF105D" w:rsidRDefault="00BF105D" w:rsidP="00BF105D">
      <w:pPr>
        <w:spacing w:after="0" w:line="276" w:lineRule="auto"/>
        <w:ind w:left="42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F105D" w:rsidRPr="001A1497" w:rsidRDefault="00BF105D" w:rsidP="00BF105D">
      <w:pPr>
        <w:spacing w:after="0" w:line="276" w:lineRule="auto"/>
        <w:ind w:left="426"/>
        <w:jc w:val="center"/>
        <w:rPr>
          <w:rFonts w:ascii="Times New Roman" w:eastAsia="Droid Sans Fallback" w:hAnsi="Times New Roman"/>
          <w:b/>
          <w:sz w:val="24"/>
          <w:szCs w:val="24"/>
        </w:rPr>
      </w:pPr>
      <w:r w:rsidRPr="001A1497">
        <w:rPr>
          <w:rFonts w:ascii="Times New Roman" w:eastAsia="Times New Roman" w:hAnsi="Times New Roman"/>
          <w:b/>
          <w:bCs/>
          <w:sz w:val="24"/>
          <w:szCs w:val="24"/>
        </w:rPr>
        <w:t>Telefonu tehniskā specifikācija.</w:t>
      </w:r>
    </w:p>
    <w:p w:rsidR="00BF105D" w:rsidRPr="001933D2" w:rsidRDefault="00BF105D" w:rsidP="00BF105D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1933D2">
        <w:rPr>
          <w:rFonts w:ascii="Times New Roman" w:eastAsia="Times New Roman" w:hAnsi="Times New Roman"/>
          <w:b/>
          <w:sz w:val="24"/>
          <w:szCs w:val="24"/>
        </w:rPr>
        <w:t>1.komplektācijas IP telefona aparāts – 28 gab.</w:t>
      </w:r>
    </w:p>
    <w:tbl>
      <w:tblPr>
        <w:tblW w:w="94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3"/>
        <w:gridCol w:w="6237"/>
        <w:gridCol w:w="1417"/>
      </w:tblGrid>
      <w:tr w:rsidR="00BF105D" w:rsidRPr="00B53B62" w:rsidTr="00396BD1">
        <w:trPr>
          <w:trHeight w:val="648"/>
          <w:tblHeader/>
        </w:trPr>
        <w:tc>
          <w:tcPr>
            <w:tcW w:w="1783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B53B62">
              <w:rPr>
                <w:rFonts w:ascii="Times New Roman" w:eastAsia="Times New Roman" w:hAnsi="Times New Roman"/>
                <w:b/>
                <w:bCs/>
                <w:i/>
              </w:rPr>
              <w:t>Nosaukums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B53B62">
              <w:rPr>
                <w:rFonts w:ascii="Times New Roman" w:eastAsia="Times New Roman" w:hAnsi="Times New Roman"/>
                <w:b/>
                <w:bCs/>
                <w:i/>
              </w:rPr>
              <w:t>Prasības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B53B62">
              <w:rPr>
                <w:rFonts w:ascii="Times New Roman" w:eastAsia="Times New Roman" w:hAnsi="Times New Roman"/>
                <w:b/>
                <w:bCs/>
                <w:i/>
              </w:rPr>
              <w:t>Pretendenta piedāvājums</w:t>
            </w:r>
          </w:p>
        </w:tc>
      </w:tr>
      <w:tr w:rsidR="00BF105D" w:rsidRPr="00B53B62" w:rsidTr="00396BD1">
        <w:trPr>
          <w:tblHeader/>
        </w:trPr>
        <w:tc>
          <w:tcPr>
            <w:tcW w:w="1783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B53B62">
              <w:rPr>
                <w:rFonts w:ascii="Times New Roman" w:eastAsia="Times New Roman" w:hAnsi="Times New Roman"/>
                <w:bCs/>
                <w:color w:val="000000"/>
              </w:rPr>
              <w:t>Ražotājs, modelis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B53B62">
              <w:rPr>
                <w:rFonts w:ascii="Times New Roman" w:eastAsia="Times New Roman" w:hAnsi="Times New Roman"/>
                <w:i/>
                <w:color w:val="000000"/>
              </w:rPr>
              <w:t>Pretendents norāda precīzu ražotāja modeļa nosaukumu, kodu (ja tas eksistē) un saiti uz ražotāja izstrādāto dokumentāciju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</w:p>
        </w:tc>
      </w:tr>
      <w:tr w:rsidR="00BF105D" w:rsidRPr="00B53B62" w:rsidTr="00396BD1">
        <w:tc>
          <w:tcPr>
            <w:tcW w:w="1783" w:type="dxa"/>
            <w:shd w:val="clear" w:color="auto" w:fill="auto"/>
            <w:vAlign w:val="center"/>
          </w:tcPr>
          <w:p w:rsidR="00BF105D" w:rsidRPr="00B53B62" w:rsidRDefault="00BF105D" w:rsidP="00396BD1">
            <w:pPr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Audio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Jānodrošina vismaz G.722, G.711(A/μ), G.729AB, G.726,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iLBC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; DTMF: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In-band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Out-of-band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(RFC 2833) un SIP INFO </w:t>
            </w:r>
          </w:p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Pilna dupleksa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full-duplex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brīvroku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hands-free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 skaļrunis ar mikrofonu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speakerphone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 un klausule. Jānodrošina vismaz AEC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acoustic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echo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cancellation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VAD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voice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activation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detection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CNG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comfort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noise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generation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PLC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packet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loss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concealment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AJB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adaptive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jitter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buffer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AGC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automatic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gain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control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05D" w:rsidRPr="00B53B62" w:rsidRDefault="00BF105D" w:rsidP="00396BD1">
            <w:pPr>
              <w:rPr>
                <w:rFonts w:ascii="Times New Roman" w:eastAsia="Times New Roman" w:hAnsi="Times New Roman"/>
              </w:rPr>
            </w:pPr>
          </w:p>
        </w:tc>
      </w:tr>
      <w:tr w:rsidR="00BF105D" w:rsidRPr="00B53B62" w:rsidTr="00396BD1">
        <w:tc>
          <w:tcPr>
            <w:tcW w:w="1783" w:type="dxa"/>
            <w:shd w:val="clear" w:color="auto" w:fill="auto"/>
            <w:vAlign w:val="center"/>
          </w:tcPr>
          <w:p w:rsidR="00BF105D" w:rsidRPr="00B53B62" w:rsidRDefault="00BF105D" w:rsidP="00396BD1">
            <w:pPr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Iespējas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Jānodrošina vismaz 2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VoIP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konti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account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ātro taustiņu zvanīšanas un “karstā” numura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one-touch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speed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dial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hotline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zvanu pāradresācijas, zvanu gaidīšanas un nodošanas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forward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waiting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and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transfer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ārkārtas zvans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emergency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atzvanu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redial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and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return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grupas skenēšanas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group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listening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mikrofona izslēgšanas (mute), automātiskās atbildēšanas (auto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answer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zvanu signāla izvēles,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ielādes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un dzēšanas (ring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tone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selection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/import/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delete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automātiskās un manuālās laika un datuma uzstādīšanas (set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date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time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manually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and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automatically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zvanu plāna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dial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plan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XML pārlūka un URL/URI atbalsta (XML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Browser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action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URL/URI),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ekrānšāviņa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izveides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integrated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screenshots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RTCP-XR funkcionalitāte.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05D" w:rsidRPr="00B53B62" w:rsidRDefault="00BF105D" w:rsidP="00396BD1">
            <w:pPr>
              <w:rPr>
                <w:rFonts w:ascii="Times New Roman" w:eastAsia="Times New Roman" w:hAnsi="Times New Roman"/>
              </w:rPr>
            </w:pPr>
          </w:p>
        </w:tc>
      </w:tr>
      <w:tr w:rsidR="00BF105D" w:rsidRPr="00B53B62" w:rsidTr="00396BD1">
        <w:tc>
          <w:tcPr>
            <w:tcW w:w="1783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Darbu ar katalogu</w:t>
            </w:r>
          </w:p>
        </w:tc>
        <w:tc>
          <w:tcPr>
            <w:tcW w:w="623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Jānodrošina kataloga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directory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lokālās telefona grāmatas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local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phonebook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 ar vismaz 1000 ierakstiem, melnā saraksta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black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list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XML un LDAP attālinātās telefona grāmatas (XML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and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LDAP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remote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phonebook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inteliģentā numuru meklēšana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intelligent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search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method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telefona grāmatas meklēšanas importēšanas/eksportēšanas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phonebook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search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/import/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export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zvanu vēstures uzskaite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history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dialed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received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missed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forwarded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F105D" w:rsidRPr="00B53B62" w:rsidTr="00396BD1">
        <w:tc>
          <w:tcPr>
            <w:tcW w:w="1783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IP-PBX funkcijas</w:t>
            </w:r>
          </w:p>
        </w:tc>
        <w:tc>
          <w:tcPr>
            <w:tcW w:w="623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Jānodrošina vismaz šādu IP-PBX funkciju atbalsts: aizņemto līniju indikācija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busy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lamp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field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– BLF), savienoto paplašinājumu izsaukšana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bridged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shared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line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apperance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– BLA), anonīmais zvans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anonymous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anonīmo zvanu noraidīšana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anonymous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rejection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mainīgo darba vietu atbalsts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hot-desking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paziņojuma indikators (MWI -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message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waiting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indicator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balss pasts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voice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mail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zvanu pārslēgšana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park), zvanu pārņemšana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pickup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interkoms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intercom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grupu izsaukšanas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paging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muzikas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atskaņošanas savienojuma gaidīšanas laikā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music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hold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zvana ierakstīšanas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recording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 funkcijas</w:t>
            </w:r>
          </w:p>
        </w:tc>
        <w:tc>
          <w:tcPr>
            <w:tcW w:w="141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F105D" w:rsidRPr="00B53B62" w:rsidTr="00396BD1">
        <w:tc>
          <w:tcPr>
            <w:tcW w:w="1783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Ekrāns un indikācija</w:t>
            </w:r>
          </w:p>
        </w:tc>
        <w:tc>
          <w:tcPr>
            <w:tcW w:w="623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Jānodrošina vismaz 132x64-pikseļu izmēra grafiskais LCD ekrāns ar fona izgaismojumu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backlight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LED indikācija zvanu un paziņojumu </w:t>
            </w:r>
            <w:r w:rsidRPr="00B53B62">
              <w:rPr>
                <w:rFonts w:ascii="Times New Roman" w:eastAsia="Times New Roman" w:hAnsi="Times New Roman"/>
              </w:rPr>
              <w:lastRenderedPageBreak/>
              <w:t>indikācijai, divkrāsu (sarkans vai zaļš) LED indikācija aizņemto/brīvo līniju attēlošanai un zvanītāja identifikācija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ID) ar vārdu un numuru</w:t>
            </w:r>
          </w:p>
        </w:tc>
        <w:tc>
          <w:tcPr>
            <w:tcW w:w="141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F105D" w:rsidRPr="00B53B62" w:rsidTr="00396BD1">
        <w:tc>
          <w:tcPr>
            <w:tcW w:w="1783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Funkcionālie taustiņi</w:t>
            </w:r>
          </w:p>
        </w:tc>
        <w:tc>
          <w:tcPr>
            <w:tcW w:w="623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Jābūt vismaz  6 funkcionālie taustiņi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features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keys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 paziņojumu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message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austiņu ar mikrofonu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headset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atkārtotās izsaukšanas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redial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zvanu pāradresācijas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transfer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zvanu pauzes (mute),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brīvroku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sistēmas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hands-free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speakerphone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kā arī 6 navigācijas taustiņiem un 2 skaļuma kontroles taustiņiem.</w:t>
            </w:r>
          </w:p>
        </w:tc>
        <w:tc>
          <w:tcPr>
            <w:tcW w:w="141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F105D" w:rsidRPr="00B53B62" w:rsidTr="00396BD1">
        <w:tc>
          <w:tcPr>
            <w:tcW w:w="1783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Pieslēguma ligzdas</w:t>
            </w:r>
          </w:p>
        </w:tc>
        <w:tc>
          <w:tcPr>
            <w:tcW w:w="623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Jābūt vismaz 2 gab. RJ45 10/100M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Ethernet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pieslēguma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ligzdām, vismaz vienai RJ9 (4P4C) klausules pieslēgšanas ligzdai un vismaz vienai RJ9 (4P4C) austiņu ar mikrofonu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headset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 pieslēgšanas ligzdai, kā arī atbilstībai IEEE 802.3af,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Class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2 standartam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power-over-ethernet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F105D" w:rsidRPr="00B53B62" w:rsidTr="00396BD1">
        <w:tc>
          <w:tcPr>
            <w:tcW w:w="1783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Pārvaldības iespējas</w:t>
            </w:r>
          </w:p>
        </w:tc>
        <w:tc>
          <w:tcPr>
            <w:tcW w:w="623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Jānodrošina vismaz konfigurēšana, izmantojot pārlūkprogrammu, telefona aparātu un automātiskā konfigurēšana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configuration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browser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phone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/auto-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provision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automātiskā konfigurēšana (auto-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provision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 izmantojot FTP/TFTP/HTTP/HTTPS,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PnP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Zero-sp-touch,TR-069, rūpnīcas iestatījumu atjaunošana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reset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to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factory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settings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pārstartēšana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reboot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auditēšanas pierakstu veikšana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system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log)</w:t>
            </w:r>
          </w:p>
        </w:tc>
        <w:tc>
          <w:tcPr>
            <w:tcW w:w="141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F105D" w:rsidRPr="00B53B62" w:rsidTr="00396BD1">
        <w:tc>
          <w:tcPr>
            <w:tcW w:w="1783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Datortīkla protokolu un funkciju atbalsts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Jānodrošina vismaz šādu datortīkla protokolu un funkciju atbalsts: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SIP v1 (RFC2543), v2 (RFC3261),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NAT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transverse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: STUN mode,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Proxy mode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and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peer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-to-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peer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SIP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link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mode,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IP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assignment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static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/DHCP,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HTTP/HTTPS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web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server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,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53B62">
              <w:rPr>
                <w:rFonts w:ascii="Times New Roman" w:eastAsia="Times New Roman" w:hAnsi="Times New Roman"/>
              </w:rPr>
              <w:t>Time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and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date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synchronization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using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SNTP,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UDP/TCP/DNS-SRV(RFC 3263),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53B62">
              <w:rPr>
                <w:rFonts w:ascii="Times New Roman" w:eastAsia="Times New Roman" w:hAnsi="Times New Roman"/>
              </w:rPr>
              <w:t>QoS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: 802.1p/Q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tagging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(VLAN),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Layer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3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ToS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DSCP,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SRTP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for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voice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,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Transport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Layer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Security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(TLS),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HTTPS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certificate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manager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,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AES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encryption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for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configuration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file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,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53B62">
              <w:rPr>
                <w:rFonts w:ascii="Times New Roman" w:eastAsia="Times New Roman" w:hAnsi="Times New Roman"/>
              </w:rPr>
              <w:t>Digest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authentication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using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MD5/MD5-sess,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53B62">
              <w:rPr>
                <w:rFonts w:ascii="Times New Roman" w:eastAsia="Times New Roman" w:hAnsi="Times New Roman"/>
              </w:rPr>
              <w:t>OpenVPN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,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IEEE802.1X,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IPv6.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BF105D" w:rsidRPr="00B53B62" w:rsidRDefault="00BF105D" w:rsidP="00BF105D">
      <w:pPr>
        <w:spacing w:after="0"/>
        <w:rPr>
          <w:rFonts w:ascii="Times New Roman" w:hAnsi="Times New Roman"/>
        </w:rPr>
      </w:pPr>
    </w:p>
    <w:p w:rsidR="00BF105D" w:rsidRPr="001933D2" w:rsidRDefault="00BF105D" w:rsidP="00BF105D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</w:rPr>
      </w:pPr>
      <w:r w:rsidRPr="001933D2">
        <w:rPr>
          <w:rFonts w:ascii="Times New Roman" w:eastAsia="Times New Roman" w:hAnsi="Times New Roman"/>
          <w:b/>
          <w:sz w:val="24"/>
        </w:rPr>
        <w:t>2.komplektācijas IP telefona aparāts – 1 gab.</w:t>
      </w:r>
    </w:p>
    <w:tbl>
      <w:tblPr>
        <w:tblW w:w="93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1"/>
        <w:gridCol w:w="6297"/>
        <w:gridCol w:w="1417"/>
      </w:tblGrid>
      <w:tr w:rsidR="00BF105D" w:rsidRPr="00B53B62" w:rsidTr="00396BD1">
        <w:trPr>
          <w:tblHeader/>
        </w:trPr>
        <w:tc>
          <w:tcPr>
            <w:tcW w:w="1641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B53B62">
              <w:rPr>
                <w:rFonts w:ascii="Times New Roman" w:eastAsia="Times New Roman" w:hAnsi="Times New Roman"/>
                <w:b/>
                <w:bCs/>
                <w:i/>
              </w:rPr>
              <w:t>Nosaukums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B53B62">
              <w:rPr>
                <w:rFonts w:ascii="Times New Roman" w:eastAsia="Times New Roman" w:hAnsi="Times New Roman"/>
                <w:b/>
                <w:bCs/>
                <w:i/>
              </w:rPr>
              <w:t>Prasības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B53B62">
              <w:rPr>
                <w:rFonts w:ascii="Times New Roman" w:eastAsia="Times New Roman" w:hAnsi="Times New Roman"/>
                <w:b/>
                <w:bCs/>
                <w:i/>
              </w:rPr>
              <w:t>Pretendenta piedāvājums</w:t>
            </w:r>
          </w:p>
        </w:tc>
      </w:tr>
      <w:tr w:rsidR="00BF105D" w:rsidRPr="00B53B62" w:rsidTr="00396BD1">
        <w:trPr>
          <w:tblHeader/>
        </w:trPr>
        <w:tc>
          <w:tcPr>
            <w:tcW w:w="1641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B53B62">
              <w:rPr>
                <w:rFonts w:ascii="Times New Roman" w:eastAsia="Times New Roman" w:hAnsi="Times New Roman"/>
                <w:bCs/>
                <w:color w:val="000000"/>
              </w:rPr>
              <w:t>Ražotājs, modelis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B53B62">
              <w:rPr>
                <w:rFonts w:ascii="Times New Roman" w:eastAsia="Times New Roman" w:hAnsi="Times New Roman"/>
                <w:i/>
                <w:color w:val="000000"/>
              </w:rPr>
              <w:t>Pretendents norāda precīzu ražotāja modeļa nosaukumu, kodu (ja tas eksistē) un saiti uz ražotāja izstrādāto dokumentāciju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</w:p>
        </w:tc>
      </w:tr>
      <w:tr w:rsidR="00BF105D" w:rsidRPr="00B53B62" w:rsidTr="00396BD1">
        <w:tc>
          <w:tcPr>
            <w:tcW w:w="1641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DECT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DECT bāzes stacija ar bezvadu telefona klausuli. Jānodrošina vismaz 1880 – 1900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MHz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Europe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CAT-iq2.0 atbilstība</w:t>
            </w:r>
          </w:p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F105D" w:rsidRPr="00B53B62" w:rsidTr="00396BD1">
        <w:tc>
          <w:tcPr>
            <w:tcW w:w="1641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Iespējas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Jānodrošina vismaz 4 vienlaicīgu zvanu iespēja, 5 bezvadu klausuļu un 5 SIP kontu atbalsts. Iespēja izvēlēties klausuli zvanu pieņemšanai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handset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select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for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receiving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zvanīšanai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handset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and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number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select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for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making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grupu izsaukumi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paging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interkoms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intercom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automātiskās atbildēšanas (auto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answer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zvanu noturēšanas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hold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zvanu pāradresācijas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transfer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pārslēgšanās starp zvaniem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switching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between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audiokonferences (3-way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conferencing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zvanu gaidīšanas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waiting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mikrofona atslēgšanas (mute), netraucēšanas (DND), zvanītāja identifikatora attēlošana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ID), atkārtotās izsaukšanas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redial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anonīmais zvans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anonymous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anonīmo zvanu noraidīšana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anonymous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rejection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konfigurējama automātiska zvana pārsūtīšana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forward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Always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Busy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/No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Answer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ātrā zvanīšana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speed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dial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bals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pasts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voicemail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klusuma režīms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silence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paziņojuma indikators (MWI -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message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waiting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indicator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telefona grāmata bāzes stacijā ar vismaz 500 ierakstiem, jānodrošina attālinātās telefona grāmatas (XML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and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LDAP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remote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phonebook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 izmantošana, telefonu meklēšana, telefonu grāmatas ierakstu imports un eksports, zvanu vēstures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Outgoing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Missed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Accepted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 saglabāšana un parādīšana, tiešā IP zvana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direct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IP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call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without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SIP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proxy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zvanu signāla izvēles,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ielādes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un dzēšanas (ring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tone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selection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/import/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delete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rūpnīcas iestatījumu atjaunošana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reset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to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factory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settings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pārstartēšana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reboot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zvanu plāna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dial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plan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muzikas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atskaņošanas savienojuma gaidīšanas laikā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music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hold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F105D" w:rsidRPr="00B53B62" w:rsidTr="00396BD1">
        <w:tc>
          <w:tcPr>
            <w:tcW w:w="1641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Audio funkcijas</w:t>
            </w:r>
          </w:p>
        </w:tc>
        <w:tc>
          <w:tcPr>
            <w:tcW w:w="629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Jānodrošina vismaz pilna dupleksa saziņa, akustisks brīdinājuma signāls par akumulatora baterijas drīzu izlādēšanos, vismaz G.722, G.723, G.711(A/μ), G.729, G.726,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iLBC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; AEC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acoustic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echo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cancellation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VAD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voice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activation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detection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CNG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comfort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noise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generation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PLC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packet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loss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concealment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AJB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adaptive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jitter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buffer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F105D" w:rsidRPr="00B53B62" w:rsidTr="00396BD1">
        <w:tc>
          <w:tcPr>
            <w:tcW w:w="1641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Ekrāns un indikācija</w:t>
            </w:r>
          </w:p>
        </w:tc>
        <w:tc>
          <w:tcPr>
            <w:tcW w:w="629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Jānodrošina vismaz 1.8’’ 128x160 pikseļu izmēra grafiskais krāsu LCD ekrāns ar fona izgaismojumu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backlight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taustiņiem jābūt ar izgaismojumu – 12 ciparu taustiņiem, 5 navigācijas taustiņiem, 2 programatiski definējamiem taustiņiem, 6 funkciju taustiņiem un 6 saīsinājuma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shortcut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 taustiņiem</w:t>
            </w:r>
          </w:p>
        </w:tc>
        <w:tc>
          <w:tcPr>
            <w:tcW w:w="141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F105D" w:rsidRPr="00B53B62" w:rsidTr="00396BD1">
        <w:tc>
          <w:tcPr>
            <w:tcW w:w="1641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Funkcionalitāte</w:t>
            </w:r>
          </w:p>
        </w:tc>
        <w:tc>
          <w:tcPr>
            <w:tcW w:w="629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Jānodrošina vismaz 50 m darbības rādiuss iekštelpās, iespēja paplašināt darbības zonu ar vismaz 5 atkārtotāju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repeaters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 palīdzību, darbība 10 stundas runāšanas laikā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hours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talk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time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 un 100 stundas gaidīšanas laikā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hours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standby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time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). Jānodrošina lietotājam iespēja pašam nomainīt ierīces akumulatorus. Komplektācijā jānodrošina klausules turētājs pie jostas.</w:t>
            </w:r>
          </w:p>
        </w:tc>
        <w:tc>
          <w:tcPr>
            <w:tcW w:w="141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F105D" w:rsidRPr="00B53B62" w:rsidTr="00396BD1">
        <w:tc>
          <w:tcPr>
            <w:tcW w:w="1641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Pieslēguma ligzdas</w:t>
            </w:r>
          </w:p>
        </w:tc>
        <w:tc>
          <w:tcPr>
            <w:tcW w:w="629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Jābūt vismaz 1 x RJ45 10/100M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Ethernet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portar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Power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over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Ethernet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(IEEE 802.3af) atbalstu un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brīvroku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sistēmas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headset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pieslēguma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ligzda (2.5 mm)</w:t>
            </w:r>
          </w:p>
        </w:tc>
        <w:tc>
          <w:tcPr>
            <w:tcW w:w="141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F105D" w:rsidRPr="00B53B62" w:rsidTr="00396BD1">
        <w:tc>
          <w:tcPr>
            <w:tcW w:w="1641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Pārvaldības iespējas</w:t>
            </w:r>
          </w:p>
        </w:tc>
        <w:tc>
          <w:tcPr>
            <w:tcW w:w="629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Jānodrošina vismaz konfigurēšana, izmantojot pārlūkprogrammu, telefona aparātu un automātiskā konfigurēšana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configuration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browser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phone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/auto-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provision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automātiskā konfigurēšana (auto-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provision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 izmantojot FTP/TFTP/HTTP/HTTPS,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PnP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), Zero-sp-touch,TR-069, auditēšanas pierakstu veikšana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system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log)</w:t>
            </w:r>
          </w:p>
        </w:tc>
        <w:tc>
          <w:tcPr>
            <w:tcW w:w="1417" w:type="dxa"/>
            <w:shd w:val="clear" w:color="auto" w:fill="auto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F105D" w:rsidRPr="00B53B62" w:rsidTr="00396BD1">
        <w:tc>
          <w:tcPr>
            <w:tcW w:w="1641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Datortīkla protokolu un funkciju atbalsts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Jānodrošina vismaz šādu datortīkla protokolu un funkciju atbalsts: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SIP v1 (RFC2543), v2 (RFC3261),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SNMP/NTP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VLAN (802.1Q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and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802.1P)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802.1x, LLDP,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PPPoE</w:t>
            </w:r>
            <w:proofErr w:type="spellEnd"/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STUN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Client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(NAT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Traversal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UDP, TCP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IP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Assignment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Static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/DHCP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53B62">
              <w:rPr>
                <w:rFonts w:ascii="Times New Roman" w:eastAsia="Times New Roman" w:hAnsi="Times New Roman"/>
              </w:rPr>
              <w:t>Open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VPN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Transport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Layer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Security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(TLS)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HTTPS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server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/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client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SRTP (RFC3711)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53B62">
              <w:rPr>
                <w:rFonts w:ascii="Times New Roman" w:eastAsia="Times New Roman" w:hAnsi="Times New Roman"/>
              </w:rPr>
              <w:t>Digest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authentication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using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MD5</w:t>
            </w:r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53B62">
              <w:rPr>
                <w:rFonts w:ascii="Times New Roman" w:eastAsia="Times New Roman" w:hAnsi="Times New Roman"/>
              </w:rPr>
              <w:t>Secure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configuration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file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via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AES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encryption</w:t>
            </w:r>
            <w:proofErr w:type="spellEnd"/>
          </w:p>
          <w:p w:rsidR="00BF105D" w:rsidRPr="00B53B62" w:rsidRDefault="00BF105D" w:rsidP="00396B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53B62">
              <w:rPr>
                <w:rFonts w:ascii="Times New Roman" w:eastAsia="Times New Roman" w:hAnsi="Times New Roman"/>
              </w:rPr>
              <w:t>Admin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/ Var /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User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3-level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configuration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mode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BF105D" w:rsidRPr="00B53B62" w:rsidRDefault="00BF105D" w:rsidP="00BF105D">
      <w:pPr>
        <w:spacing w:after="0"/>
        <w:rPr>
          <w:rFonts w:ascii="Times New Roman" w:hAnsi="Times New Roman"/>
        </w:rPr>
      </w:pPr>
    </w:p>
    <w:p w:rsidR="00BF105D" w:rsidRPr="001933D2" w:rsidRDefault="00BF105D" w:rsidP="00BF105D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</w:rPr>
      </w:pPr>
      <w:r w:rsidRPr="001933D2">
        <w:rPr>
          <w:rFonts w:ascii="Times New Roman" w:eastAsia="Times New Roman" w:hAnsi="Times New Roman"/>
          <w:b/>
          <w:sz w:val="24"/>
        </w:rPr>
        <w:t>Darba stacija – 1 gab.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5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351"/>
        <w:gridCol w:w="5446"/>
        <w:gridCol w:w="1417"/>
      </w:tblGrid>
      <w:tr w:rsidR="00BF105D" w:rsidRPr="00B53B62" w:rsidTr="00396BD1">
        <w:trPr>
          <w:tblHeader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D" w:rsidRPr="00B53B62" w:rsidRDefault="00BF105D" w:rsidP="00396BD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B53B62">
              <w:rPr>
                <w:rFonts w:ascii="Times New Roman" w:eastAsia="Times New Roman" w:hAnsi="Times New Roman"/>
                <w:b/>
                <w:bCs/>
                <w:i/>
              </w:rPr>
              <w:t>Nosaukums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D" w:rsidRPr="00B53B62" w:rsidRDefault="00BF105D" w:rsidP="00396BD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B53B62">
              <w:rPr>
                <w:rFonts w:ascii="Times New Roman" w:eastAsia="Times New Roman" w:hAnsi="Times New Roman"/>
                <w:b/>
                <w:bCs/>
                <w:i/>
              </w:rPr>
              <w:t>Prasības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5D" w:rsidRPr="00B53B62" w:rsidRDefault="00BF105D" w:rsidP="00396BD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B53B62">
              <w:rPr>
                <w:rFonts w:ascii="Times New Roman" w:eastAsia="Times New Roman" w:hAnsi="Times New Roman"/>
                <w:b/>
                <w:bCs/>
                <w:i/>
              </w:rPr>
              <w:t>Pretendenta piedāvājums</w:t>
            </w:r>
          </w:p>
        </w:tc>
      </w:tr>
      <w:tr w:rsidR="00BF105D" w:rsidRPr="00B53B62" w:rsidTr="00396BD1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Ražotājs, modelis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5D" w:rsidRPr="00B53B62" w:rsidRDefault="00BF105D" w:rsidP="00396BD1">
            <w:pPr>
              <w:spacing w:after="0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B53B62">
              <w:rPr>
                <w:rFonts w:ascii="Times New Roman" w:eastAsia="Times New Roman" w:hAnsi="Times New Roman"/>
                <w:i/>
                <w:color w:val="000000"/>
              </w:rPr>
              <w:t>Pretendents norāda precīzu ražotāja modeļa nosaukumu, kodu (ja tas eksistē) un saiti uz ražotāja izstrādāto dokumentāciju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5D" w:rsidRPr="00B53B62" w:rsidRDefault="00BF105D" w:rsidP="00396BD1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E681A" w:rsidRPr="00B53B62" w:rsidTr="007E6850">
        <w:trPr>
          <w:trHeight w:val="2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A" w:rsidRPr="00B53B62" w:rsidRDefault="009E681A" w:rsidP="007E6850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Tips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Mini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Tower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E681A" w:rsidRPr="00B53B62" w:rsidTr="007E6850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A" w:rsidRPr="00B53B62" w:rsidRDefault="009E681A" w:rsidP="007E6850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Procesors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Intel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Core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i-5, vai analogs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E681A" w:rsidRPr="00B53B62" w:rsidTr="007E6850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A" w:rsidRPr="00B53B62" w:rsidRDefault="009E681A" w:rsidP="007E6850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Operatīvā atmiņa (RAM)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 GB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E681A" w:rsidRPr="00B53B62" w:rsidTr="007E6850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A" w:rsidRPr="00B53B62" w:rsidRDefault="009E681A" w:rsidP="007E6850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Cietais disks (HDD)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SATA </w:t>
            </w:r>
            <w:r w:rsidRPr="00B53B62">
              <w:rPr>
                <w:rFonts w:ascii="Times New Roman" w:eastAsia="Times New Roman" w:hAnsi="Times New Roman"/>
              </w:rPr>
              <w:t>2 X 1TB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E681A" w:rsidRPr="00B53B62" w:rsidTr="007E6850">
        <w:trPr>
          <w:trHeight w:val="33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A" w:rsidRPr="00B53B62" w:rsidRDefault="009E681A" w:rsidP="007E6850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Grafiskais adapteris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Integrēts grafiskais adapteris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E681A" w:rsidRPr="00B53B62" w:rsidTr="007E6850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A" w:rsidRPr="00B53B62" w:rsidRDefault="009E681A" w:rsidP="007E6850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Skaņas adapteris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Integrēts skaņas adapteris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E681A" w:rsidRPr="00B53B62" w:rsidTr="007E6850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A" w:rsidRPr="00B53B62" w:rsidRDefault="009E681A" w:rsidP="007E6850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Datortīkla adapteris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 xml:space="preserve">Integrēts 1000Base-T 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Ethernet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(RJ45)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E681A" w:rsidRPr="00B53B62" w:rsidTr="007E6850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Pr="00B53B62" w:rsidRDefault="009E681A" w:rsidP="007E6850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Barošanas bloks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500W, </w:t>
            </w:r>
            <w:r w:rsidRPr="00B53B62">
              <w:rPr>
                <w:rFonts w:ascii="Times New Roman" w:eastAsia="Times New Roman" w:hAnsi="Times New Roman"/>
              </w:rPr>
              <w:t>230V / 50Hz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E681A" w:rsidRPr="00B53B62" w:rsidTr="007E6850">
        <w:trPr>
          <w:trHeight w:val="28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1A" w:rsidRPr="00B53B62" w:rsidRDefault="009E681A" w:rsidP="007E685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Operētājsistēma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1A" w:rsidRPr="00B53B62" w:rsidRDefault="009E681A" w:rsidP="007E6850">
            <w:pPr>
              <w:spacing w:after="0" w:line="276" w:lineRule="auto"/>
              <w:ind w:right="95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53B62">
              <w:rPr>
                <w:rFonts w:ascii="Times New Roman" w:eastAsia="Times New Roman" w:hAnsi="Times New Roman"/>
              </w:rPr>
              <w:t>Linux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Debian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/</w:t>
            </w:r>
            <w:proofErr w:type="spellStart"/>
            <w:r w:rsidRPr="00B53B62">
              <w:rPr>
                <w:rFonts w:ascii="Times New Roman" w:eastAsia="Times New Roman" w:hAnsi="Times New Roman"/>
              </w:rPr>
              <w:t>Ubuntu</w:t>
            </w:r>
            <w:proofErr w:type="spellEnd"/>
            <w:r w:rsidRPr="00B53B62">
              <w:rPr>
                <w:rFonts w:ascii="Times New Roman" w:eastAsia="Times New Roman" w:hAnsi="Times New Roman"/>
              </w:rPr>
              <w:t>) jaunākajām versijām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1A" w:rsidRPr="00B53B62" w:rsidRDefault="009E681A" w:rsidP="007E6850">
            <w:pPr>
              <w:spacing w:after="0" w:line="276" w:lineRule="auto"/>
              <w:ind w:right="95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E681A" w:rsidRPr="00B53B62" w:rsidTr="007E6850">
        <w:trPr>
          <w:trHeight w:val="34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1A" w:rsidRPr="00B53B62" w:rsidRDefault="009E681A" w:rsidP="007E6850">
            <w:pPr>
              <w:spacing w:after="0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Garantija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81A" w:rsidRPr="00B53B62" w:rsidRDefault="009E681A" w:rsidP="007E6850">
            <w:pPr>
              <w:spacing w:after="0" w:line="276" w:lineRule="auto"/>
              <w:ind w:right="95"/>
              <w:jc w:val="both"/>
              <w:rPr>
                <w:rFonts w:ascii="Times New Roman" w:eastAsia="Times New Roman" w:hAnsi="Times New Roman"/>
              </w:rPr>
            </w:pPr>
            <w:r w:rsidRPr="00B53B62">
              <w:rPr>
                <w:rFonts w:ascii="Times New Roman" w:eastAsia="Times New Roman" w:hAnsi="Times New Roman"/>
              </w:rPr>
              <w:t>2 gadi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1A" w:rsidRPr="00B53B62" w:rsidRDefault="009E681A" w:rsidP="007E6850">
            <w:pPr>
              <w:spacing w:after="0"/>
              <w:ind w:right="95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BF105D" w:rsidRPr="001A1497" w:rsidRDefault="00BF105D" w:rsidP="00BF105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105D" w:rsidRPr="001A1497" w:rsidRDefault="00BF105D" w:rsidP="00BF105D">
      <w:pPr>
        <w:spacing w:after="0"/>
        <w:rPr>
          <w:rFonts w:ascii="Times New Roman" w:hAnsi="Times New Roman"/>
          <w:sz w:val="24"/>
          <w:szCs w:val="24"/>
        </w:rPr>
      </w:pPr>
    </w:p>
    <w:p w:rsidR="005155C3" w:rsidRDefault="005155C3"/>
    <w:sectPr w:rsidR="005155C3" w:rsidSect="001A1497">
      <w:pgSz w:w="11906" w:h="16838"/>
      <w:pgMar w:top="709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0F93"/>
    <w:multiLevelType w:val="multilevel"/>
    <w:tmpl w:val="B3229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021A4C"/>
    <w:multiLevelType w:val="hybridMultilevel"/>
    <w:tmpl w:val="38D2396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444033"/>
    <w:multiLevelType w:val="hybridMultilevel"/>
    <w:tmpl w:val="3CB6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445D7"/>
    <w:multiLevelType w:val="hybridMultilevel"/>
    <w:tmpl w:val="E2822B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5D"/>
    <w:rsid w:val="005155C3"/>
    <w:rsid w:val="007472F3"/>
    <w:rsid w:val="009E681A"/>
    <w:rsid w:val="00B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1FAB1-B052-405B-B940-8C769E20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105D"/>
    <w:pPr>
      <w:spacing w:after="160" w:line="259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F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.v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10636</Characters>
  <Application>Microsoft Office Word</Application>
  <DocSecurity>4</DocSecurity>
  <Lines>88</Lines>
  <Paragraphs>24</Paragraphs>
  <ScaleCrop>false</ScaleCrop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mreinbergs</dc:creator>
  <cp:keywords/>
  <dc:description/>
  <cp:lastModifiedBy>localuser</cp:lastModifiedBy>
  <cp:revision>2</cp:revision>
  <cp:lastPrinted>2020-11-19T14:24:00Z</cp:lastPrinted>
  <dcterms:created xsi:type="dcterms:W3CDTF">2020-11-20T07:23:00Z</dcterms:created>
  <dcterms:modified xsi:type="dcterms:W3CDTF">2020-11-20T07:23:00Z</dcterms:modified>
</cp:coreProperties>
</file>