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9C" w:rsidRPr="003E1193" w:rsidRDefault="00C8419C" w:rsidP="00C8419C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3E1193">
        <w:rPr>
          <w:rFonts w:ascii="Times New Roman" w:eastAsia="Times New Roman" w:hAnsi="Times New Roman"/>
          <w:sz w:val="24"/>
        </w:rPr>
        <w:t>Pielikums Nr.1</w:t>
      </w:r>
    </w:p>
    <w:p w:rsidR="00C8419C" w:rsidRPr="003E1193" w:rsidRDefault="00C8419C" w:rsidP="00C8419C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3E1193">
        <w:rPr>
          <w:rFonts w:ascii="Times New Roman" w:hAnsi="Times New Roman"/>
          <w:sz w:val="24"/>
          <w:szCs w:val="24"/>
        </w:rPr>
        <w:t>28.05.2024</w:t>
      </w:r>
      <w:r w:rsidRPr="003E1193">
        <w:rPr>
          <w:rFonts w:ascii="Times New Roman" w:eastAsia="Times New Roman" w:hAnsi="Times New Roman"/>
          <w:sz w:val="24"/>
        </w:rPr>
        <w:t>.</w:t>
      </w:r>
    </w:p>
    <w:p w:rsidR="00C8419C" w:rsidRPr="003E1193" w:rsidRDefault="00C8419C" w:rsidP="00C84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C8419C" w:rsidRPr="003E1193" w:rsidRDefault="00C8419C" w:rsidP="00C84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E1193">
        <w:rPr>
          <w:rFonts w:ascii="Times New Roman" w:eastAsia="Times New Roman" w:hAnsi="Times New Roman"/>
          <w:b/>
          <w:sz w:val="24"/>
        </w:rPr>
        <w:t>Tehniskā specifikācija</w:t>
      </w:r>
    </w:p>
    <w:p w:rsidR="00C8419C" w:rsidRPr="003E1193" w:rsidRDefault="00C8419C" w:rsidP="00C84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E35D36" w:rsidRPr="003E1193" w:rsidRDefault="00E35D36" w:rsidP="00E35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193">
        <w:rPr>
          <w:rFonts w:ascii="Times New Roman" w:hAnsi="Times New Roman"/>
          <w:b/>
          <w:sz w:val="24"/>
          <w:szCs w:val="24"/>
        </w:rPr>
        <w:t>Ieejas mezgla remonts Talsu ielā 84</w:t>
      </w:r>
      <w:r>
        <w:rPr>
          <w:rFonts w:ascii="Times New Roman" w:hAnsi="Times New Roman"/>
          <w:b/>
          <w:sz w:val="24"/>
          <w:szCs w:val="24"/>
        </w:rPr>
        <w:t>, Ventspils</w:t>
      </w:r>
      <w:r w:rsidRPr="003E1193">
        <w:rPr>
          <w:rFonts w:ascii="Times New Roman" w:hAnsi="Times New Roman"/>
          <w:b/>
          <w:sz w:val="24"/>
          <w:szCs w:val="24"/>
        </w:rPr>
        <w:t>.</w:t>
      </w:r>
    </w:p>
    <w:p w:rsidR="00E35D36" w:rsidRPr="003E1193" w:rsidRDefault="00E35D36" w:rsidP="00E35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193">
        <w:rPr>
          <w:rFonts w:ascii="Times New Roman" w:hAnsi="Times New Roman"/>
          <w:b/>
          <w:sz w:val="24"/>
          <w:szCs w:val="24"/>
        </w:rPr>
        <w:t>Apraksts: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Grīdas flīžu demontāža pakāpieniem un ieejas mezglam, būvgružu utilizācija;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Ieejas mezgla mazgāšana ar augstspiediena ūdens strūklu;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 xml:space="preserve">Virsmas pārslīpēšana, atputekļošana, gruntēšana ar </w:t>
      </w:r>
      <w:proofErr w:type="spellStart"/>
      <w:r w:rsidRPr="003E1193">
        <w:rPr>
          <w:rFonts w:ascii="Times New Roman" w:hAnsi="Times New Roman"/>
          <w:sz w:val="24"/>
          <w:szCs w:val="24"/>
        </w:rPr>
        <w:t>špakteļmasas</w:t>
      </w:r>
      <w:proofErr w:type="spellEnd"/>
      <w:r w:rsidRPr="003E1193">
        <w:rPr>
          <w:rFonts w:ascii="Times New Roman" w:hAnsi="Times New Roman"/>
          <w:sz w:val="24"/>
          <w:szCs w:val="24"/>
        </w:rPr>
        <w:t xml:space="preserve"> grunti;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 xml:space="preserve">Virsmas izlīdzināšana ar salizturīgu </w:t>
      </w:r>
      <w:proofErr w:type="spellStart"/>
      <w:r w:rsidRPr="003E1193">
        <w:rPr>
          <w:rFonts w:ascii="Times New Roman" w:hAnsi="Times New Roman"/>
          <w:sz w:val="24"/>
          <w:szCs w:val="24"/>
        </w:rPr>
        <w:t>špakteļmasu</w:t>
      </w:r>
      <w:proofErr w:type="spellEnd"/>
      <w:r w:rsidRPr="003E1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93">
        <w:rPr>
          <w:rFonts w:ascii="Times New Roman" w:hAnsi="Times New Roman"/>
          <w:sz w:val="24"/>
          <w:szCs w:val="24"/>
        </w:rPr>
        <w:t>Schonox</w:t>
      </w:r>
      <w:proofErr w:type="spellEnd"/>
      <w:r w:rsidRPr="003E1193">
        <w:rPr>
          <w:rFonts w:ascii="Times New Roman" w:hAnsi="Times New Roman"/>
          <w:sz w:val="24"/>
          <w:szCs w:val="24"/>
        </w:rPr>
        <w:t xml:space="preserve"> PL</w:t>
      </w:r>
      <w:r>
        <w:rPr>
          <w:rFonts w:ascii="Times New Roman" w:hAnsi="Times New Roman"/>
          <w:sz w:val="24"/>
          <w:szCs w:val="24"/>
        </w:rPr>
        <w:t xml:space="preserve"> (vai ekvivalents)</w:t>
      </w:r>
      <w:r w:rsidRPr="003E11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193">
        <w:rPr>
          <w:rFonts w:ascii="Times New Roman" w:hAnsi="Times New Roman"/>
          <w:sz w:val="24"/>
          <w:szCs w:val="24"/>
        </w:rPr>
        <w:t>starpslīpēšana</w:t>
      </w:r>
      <w:proofErr w:type="spellEnd"/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 xml:space="preserve">Virsmas gruntēšana ar </w:t>
      </w:r>
      <w:proofErr w:type="spellStart"/>
      <w:r w:rsidRPr="003E1193">
        <w:rPr>
          <w:rFonts w:ascii="Times New Roman" w:hAnsi="Times New Roman"/>
          <w:sz w:val="24"/>
          <w:szCs w:val="24"/>
        </w:rPr>
        <w:t>epoksīda</w:t>
      </w:r>
      <w:proofErr w:type="spellEnd"/>
      <w:r w:rsidRPr="003E1193">
        <w:rPr>
          <w:rFonts w:ascii="Times New Roman" w:hAnsi="Times New Roman"/>
          <w:sz w:val="24"/>
          <w:szCs w:val="24"/>
        </w:rPr>
        <w:t xml:space="preserve"> grunti, </w:t>
      </w:r>
      <w:proofErr w:type="spellStart"/>
      <w:r w:rsidRPr="003E1193">
        <w:rPr>
          <w:rFonts w:ascii="Times New Roman" w:hAnsi="Times New Roman"/>
          <w:sz w:val="24"/>
          <w:szCs w:val="24"/>
        </w:rPr>
        <w:t>distanceru</w:t>
      </w:r>
      <w:proofErr w:type="spellEnd"/>
      <w:r w:rsidRPr="003E1193">
        <w:rPr>
          <w:rFonts w:ascii="Times New Roman" w:hAnsi="Times New Roman"/>
          <w:sz w:val="24"/>
          <w:szCs w:val="24"/>
        </w:rPr>
        <w:t xml:space="preserve"> iestrāde;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1193">
        <w:rPr>
          <w:rFonts w:ascii="Times New Roman" w:hAnsi="Times New Roman"/>
          <w:sz w:val="24"/>
          <w:szCs w:val="24"/>
        </w:rPr>
        <w:t>Nosegplātņu</w:t>
      </w:r>
      <w:proofErr w:type="spellEnd"/>
      <w:r w:rsidRPr="003E1193">
        <w:rPr>
          <w:rFonts w:ascii="Times New Roman" w:hAnsi="Times New Roman"/>
          <w:sz w:val="24"/>
          <w:szCs w:val="24"/>
        </w:rPr>
        <w:t xml:space="preserve"> krāsošana ar tonētu poliuretānu (3 kārtās);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 xml:space="preserve">Alumīnija </w:t>
      </w:r>
      <w:proofErr w:type="spellStart"/>
      <w:r w:rsidRPr="003E1193">
        <w:rPr>
          <w:rFonts w:ascii="Times New Roman" w:hAnsi="Times New Roman"/>
          <w:sz w:val="24"/>
          <w:szCs w:val="24"/>
        </w:rPr>
        <w:t>profillīstu</w:t>
      </w:r>
      <w:proofErr w:type="spellEnd"/>
      <w:r w:rsidRPr="003E1193">
        <w:rPr>
          <w:rFonts w:ascii="Times New Roman" w:hAnsi="Times New Roman"/>
          <w:sz w:val="24"/>
          <w:szCs w:val="24"/>
        </w:rPr>
        <w:t xml:space="preserve"> piestiprināšana pakāpienu stūros;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1193">
        <w:rPr>
          <w:rFonts w:ascii="Times New Roman" w:hAnsi="Times New Roman"/>
          <w:sz w:val="24"/>
          <w:szCs w:val="24"/>
        </w:rPr>
        <w:t>Rustik</w:t>
      </w:r>
      <w:proofErr w:type="spellEnd"/>
      <w:r w:rsidRPr="003E1193">
        <w:rPr>
          <w:rFonts w:ascii="Times New Roman" w:hAnsi="Times New Roman"/>
          <w:sz w:val="24"/>
          <w:szCs w:val="24"/>
        </w:rPr>
        <w:t xml:space="preserve"> akmentiņu klājuma izveide;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Lai detalizētāk un precīzāk varētu sagatavot piedāvājumu, kā arī, lai nerastos pārpratumi un interpretācijas, Pretendentam tiek rekomendēts darbu apjomu precizēt Talsu ielā 84</w:t>
      </w:r>
      <w:r>
        <w:rPr>
          <w:rFonts w:ascii="Times New Roman" w:hAnsi="Times New Roman"/>
          <w:sz w:val="24"/>
          <w:szCs w:val="24"/>
        </w:rPr>
        <w:t>, Ventspilī</w:t>
      </w:r>
      <w:r w:rsidRPr="003E1193">
        <w:rPr>
          <w:rFonts w:ascii="Times New Roman" w:hAnsi="Times New Roman"/>
          <w:sz w:val="24"/>
          <w:szCs w:val="24"/>
        </w:rPr>
        <w:t xml:space="preserve"> uz vietas pie  sagādes un transporta daļas meistara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Sandija</w:t>
      </w:r>
      <w:proofErr w:type="spellEnd"/>
      <w:r>
        <w:rPr>
          <w:rFonts w:ascii="Times New Roman" w:hAnsi="Times New Roman"/>
          <w:sz w:val="24"/>
          <w:szCs w:val="24"/>
        </w:rPr>
        <w:t xml:space="preserve"> Dāvida</w:t>
      </w:r>
      <w:r w:rsidRPr="003E1193">
        <w:rPr>
          <w:rFonts w:ascii="Times New Roman" w:hAnsi="Times New Roman"/>
          <w:sz w:val="24"/>
          <w:szCs w:val="24"/>
        </w:rPr>
        <w:t xml:space="preserve"> – tālrunis 29155226.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Ieejas mezgla remonta termiņš – 4 nedēļu laikā no līguma noslēgšanas brīža.</w:t>
      </w:r>
    </w:p>
    <w:p w:rsidR="00E35D36" w:rsidRPr="003E1193" w:rsidRDefault="00E35D36" w:rsidP="00E35D3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E1193">
        <w:rPr>
          <w:rFonts w:ascii="Times New Roman" w:hAnsi="Times New Roman"/>
          <w:b/>
          <w:sz w:val="24"/>
          <w:szCs w:val="24"/>
        </w:rPr>
        <w:t>Prasības: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 xml:space="preserve">Garantijas termiņš – ne mazāks par 5 gadiem gan darbiem, gan materiāliem; </w:t>
      </w:r>
    </w:p>
    <w:p w:rsidR="00E35D36" w:rsidRPr="003E1193" w:rsidRDefault="00E35D36" w:rsidP="00E35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 w:rsidRPr="003E1193">
        <w:rPr>
          <w:rFonts w:ascii="Times New Roman" w:hAnsi="Times New Roman"/>
          <w:b/>
          <w:sz w:val="24"/>
          <w:szCs w:val="24"/>
        </w:rPr>
        <w:t>Prasības Pretendentiem:</w:t>
      </w:r>
    </w:p>
    <w:p w:rsidR="00E35D36" w:rsidRPr="003E1193" w:rsidRDefault="00E35D36" w:rsidP="00E35D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left="426" w:right="-20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 w:rsidRPr="003E1193">
        <w:rPr>
          <w:rFonts w:ascii="Times New Roman" w:hAnsi="Times New Roman"/>
          <w:sz w:val="24"/>
          <w:szCs w:val="24"/>
        </w:rPr>
        <w:t>Apliecinājums, ka Pretendents un tā personāls ir tiesīgs veikt punktā Nr.1 aprakstītos darbus.</w:t>
      </w:r>
    </w:p>
    <w:p w:rsidR="00E35D36" w:rsidRPr="003E1193" w:rsidRDefault="00E35D36" w:rsidP="00E35D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left="426" w:right="-20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 w:rsidRPr="003E1193">
        <w:rPr>
          <w:rFonts w:ascii="Times New Roman" w:hAnsi="Times New Roman"/>
          <w:sz w:val="24"/>
          <w:szCs w:val="24"/>
        </w:rPr>
        <w:t>Pēdējo 3 gadu laikā ir veicis iepriekš minētos darbus vismaz 2 objektos (norādīt objekta nosaukumu, atrašanās vietu un kontaktpersonu).</w:t>
      </w:r>
    </w:p>
    <w:p w:rsidR="00E35D36" w:rsidRPr="003E1193" w:rsidRDefault="00E35D36" w:rsidP="00E35D3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E1193">
        <w:rPr>
          <w:rFonts w:ascii="Times New Roman" w:hAnsi="Times New Roman"/>
          <w:b/>
          <w:sz w:val="24"/>
          <w:szCs w:val="24"/>
        </w:rPr>
        <w:t>Iesniedzamie dokumenti: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Pretendenta pieteikums saskaņā ar punktiem Nr.1, Nr.2, Nr3,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Darba veikšanai izmantoto materiālu saraksts, kur norāda materiāla m</w:t>
      </w:r>
      <w:r>
        <w:rPr>
          <w:rFonts w:ascii="Times New Roman" w:hAnsi="Times New Roman"/>
          <w:sz w:val="24"/>
          <w:szCs w:val="24"/>
        </w:rPr>
        <w:t>arku un atbilstības deklarāciju</w:t>
      </w:r>
      <w:r w:rsidRPr="003E1193">
        <w:rPr>
          <w:rFonts w:ascii="Times New Roman" w:hAnsi="Times New Roman"/>
          <w:sz w:val="24"/>
          <w:szCs w:val="24"/>
        </w:rPr>
        <w:t>;</w:t>
      </w:r>
    </w:p>
    <w:p w:rsidR="00E35D36" w:rsidRPr="003E1193" w:rsidRDefault="00E35D36" w:rsidP="00E35D36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Veicamo darbu tāme.</w:t>
      </w:r>
    </w:p>
    <w:p w:rsidR="00E35D36" w:rsidRPr="003E1193" w:rsidRDefault="00E35D36" w:rsidP="00E35D36">
      <w:pPr>
        <w:spacing w:after="0" w:line="240" w:lineRule="auto"/>
        <w:ind w:left="426"/>
        <w:rPr>
          <w:rFonts w:ascii="Times New Roman" w:hAnsi="Times New Roman"/>
          <w:sz w:val="12"/>
          <w:szCs w:val="12"/>
        </w:rPr>
      </w:pPr>
    </w:p>
    <w:p w:rsidR="00E35D36" w:rsidRPr="003E1193" w:rsidRDefault="00E35D36" w:rsidP="00E3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Avanss nav paredzēts.</w:t>
      </w:r>
    </w:p>
    <w:p w:rsidR="00E35D36" w:rsidRPr="003E1193" w:rsidRDefault="00E35D36" w:rsidP="00E3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Papildinformācija – sagādes un transporta daļas meistars – tālrunis 29155226</w:t>
      </w:r>
    </w:p>
    <w:p w:rsidR="00E35D36" w:rsidRPr="003E1193" w:rsidRDefault="00E35D36" w:rsidP="00E35D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5D36" w:rsidRPr="003E1193" w:rsidRDefault="00E35D36" w:rsidP="00E3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eastAsia="Times New Roman" w:hAnsi="Times New Roman"/>
          <w:sz w:val="24"/>
          <w:szCs w:val="24"/>
        </w:rPr>
        <w:t xml:space="preserve">Piedāvājumu var iesniegt personīgi vai nosūtīt pa pastu ar piegādi </w:t>
      </w:r>
      <w:r w:rsidRPr="003E1193">
        <w:rPr>
          <w:rFonts w:ascii="Times New Roman" w:hAnsi="Times New Roman"/>
          <w:sz w:val="24"/>
          <w:szCs w:val="24"/>
        </w:rPr>
        <w:t xml:space="preserve">Talsu ielā 84, Ventspilī vai pa e-pastu – </w:t>
      </w:r>
      <w:r w:rsidRPr="003E1193">
        <w:rPr>
          <w:rFonts w:ascii="Times New Roman" w:hAnsi="Times New Roman"/>
          <w:color w:val="00B0F0"/>
          <w:sz w:val="24"/>
          <w:szCs w:val="24"/>
        </w:rPr>
        <w:t>iepirkumi.vsiltums@ventspils.lv</w:t>
      </w:r>
      <w:r w:rsidRPr="003E1193">
        <w:rPr>
          <w:rFonts w:ascii="Times New Roman" w:hAnsi="Times New Roman"/>
          <w:sz w:val="24"/>
          <w:szCs w:val="24"/>
        </w:rPr>
        <w:t xml:space="preserve"> (ieskenēts piedāvājums</w:t>
      </w:r>
      <w:r>
        <w:rPr>
          <w:rFonts w:ascii="Times New Roman" w:hAnsi="Times New Roman"/>
          <w:sz w:val="24"/>
          <w:szCs w:val="24"/>
        </w:rPr>
        <w:t xml:space="preserve"> vai elektroniski parakstīts</w:t>
      </w:r>
      <w:r w:rsidRPr="003E1193">
        <w:rPr>
          <w:rFonts w:ascii="Times New Roman" w:hAnsi="Times New Roman"/>
          <w:sz w:val="24"/>
          <w:szCs w:val="24"/>
        </w:rPr>
        <w:t>).</w:t>
      </w:r>
    </w:p>
    <w:p w:rsidR="00E35D36" w:rsidRPr="003E1193" w:rsidRDefault="00E35D36" w:rsidP="00E3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>Cenu aptaujas vērtēšanas kritērijs – zemākā cena, tehniskās prasības.</w:t>
      </w:r>
    </w:p>
    <w:p w:rsidR="00E35D36" w:rsidRPr="003E1193" w:rsidRDefault="00E35D36" w:rsidP="00E3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sz w:val="24"/>
          <w:szCs w:val="24"/>
        </w:rPr>
        <w:t xml:space="preserve">Cenu aptaujas piedāvājumu iesniegšanas termiņš līdz </w:t>
      </w:r>
      <w:r w:rsidRPr="003E1193">
        <w:rPr>
          <w:rFonts w:ascii="Times New Roman" w:hAnsi="Times New Roman"/>
          <w:b/>
          <w:sz w:val="24"/>
          <w:szCs w:val="24"/>
        </w:rPr>
        <w:t xml:space="preserve">2024.gada </w:t>
      </w:r>
      <w:r>
        <w:rPr>
          <w:rFonts w:ascii="Times New Roman" w:hAnsi="Times New Roman"/>
          <w:b/>
          <w:sz w:val="24"/>
          <w:szCs w:val="24"/>
        </w:rPr>
        <w:t>7.jūnijam plkst. 10</w:t>
      </w:r>
      <w:r w:rsidRPr="003E1193">
        <w:rPr>
          <w:rFonts w:ascii="Times New Roman" w:hAnsi="Times New Roman"/>
          <w:b/>
          <w:sz w:val="24"/>
          <w:szCs w:val="24"/>
        </w:rPr>
        <w:t>.00</w:t>
      </w:r>
    </w:p>
    <w:p w:rsidR="00E35D36" w:rsidRPr="003E1193" w:rsidRDefault="00E35D36" w:rsidP="00E3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36" w:rsidRPr="003E1193" w:rsidRDefault="00E35D36" w:rsidP="00E3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36" w:rsidRDefault="00E35D36" w:rsidP="00C84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19C" w:rsidRPr="00C1489D" w:rsidRDefault="00C8419C" w:rsidP="00C841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9D">
        <w:rPr>
          <w:rFonts w:ascii="Times New Roman" w:hAnsi="Times New Roman"/>
          <w:sz w:val="24"/>
          <w:szCs w:val="24"/>
        </w:rPr>
        <w:t>Sagādes un transporta daļas vadītājs</w:t>
      </w:r>
      <w:r w:rsidRPr="003E1193">
        <w:rPr>
          <w:rFonts w:ascii="Times New Roman" w:eastAsia="Times New Roman" w:hAnsi="Times New Roman"/>
          <w:sz w:val="24"/>
          <w:szCs w:val="24"/>
        </w:rPr>
        <w:tab/>
      </w:r>
      <w:r w:rsidRPr="003E1193">
        <w:rPr>
          <w:rFonts w:ascii="Times New Roman" w:eastAsia="Times New Roman" w:hAnsi="Times New Roman"/>
          <w:sz w:val="24"/>
          <w:szCs w:val="24"/>
        </w:rPr>
        <w:tab/>
      </w:r>
      <w:r w:rsidRPr="003E1193">
        <w:rPr>
          <w:rFonts w:ascii="Times New Roman" w:eastAsia="Times New Roman" w:hAnsi="Times New Roman"/>
          <w:sz w:val="24"/>
          <w:szCs w:val="24"/>
        </w:rPr>
        <w:tab/>
      </w:r>
      <w:r w:rsidRPr="003E1193">
        <w:rPr>
          <w:rFonts w:ascii="Times New Roman" w:eastAsia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Māris Reinbergs</w:t>
      </w: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</w:pPr>
    </w:p>
    <w:p w:rsidR="00C8419C" w:rsidRPr="003E1193" w:rsidRDefault="00C8419C" w:rsidP="00C8419C">
      <w:pPr>
        <w:spacing w:after="0" w:line="240" w:lineRule="auto"/>
        <w:rPr>
          <w:rFonts w:ascii="Lucida Bright" w:eastAsia="Times New Roman" w:hAnsi="Lucida Bright"/>
          <w:sz w:val="20"/>
          <w:szCs w:val="20"/>
          <w:lang w:eastAsia="lv-LV"/>
        </w:rPr>
        <w:sectPr w:rsidR="00C8419C" w:rsidRPr="003E1193" w:rsidSect="00B12180"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tbl>
      <w:tblPr>
        <w:tblW w:w="16045" w:type="dxa"/>
        <w:tblLayout w:type="fixed"/>
        <w:tblLook w:val="04A0" w:firstRow="1" w:lastRow="0" w:firstColumn="1" w:lastColumn="0" w:noHBand="0" w:noVBand="1"/>
      </w:tblPr>
      <w:tblGrid>
        <w:gridCol w:w="250"/>
        <w:gridCol w:w="275"/>
        <w:gridCol w:w="3019"/>
        <w:gridCol w:w="753"/>
        <w:gridCol w:w="1134"/>
        <w:gridCol w:w="805"/>
        <w:gridCol w:w="992"/>
        <w:gridCol w:w="710"/>
        <w:gridCol w:w="963"/>
        <w:gridCol w:w="1134"/>
        <w:gridCol w:w="738"/>
        <w:gridCol w:w="1276"/>
        <w:gridCol w:w="960"/>
        <w:gridCol w:w="1059"/>
        <w:gridCol w:w="92"/>
        <w:gridCol w:w="1042"/>
        <w:gridCol w:w="8"/>
        <w:gridCol w:w="827"/>
        <w:gridCol w:w="8"/>
      </w:tblGrid>
      <w:tr w:rsidR="00C8419C" w:rsidRPr="003E1193" w:rsidTr="00F82C91">
        <w:trPr>
          <w:gridBefore w:val="1"/>
          <w:gridAfter w:val="4"/>
          <w:wBefore w:w="250" w:type="dxa"/>
          <w:wAfter w:w="1885" w:type="dxa"/>
          <w:trHeight w:val="300"/>
        </w:trPr>
        <w:tc>
          <w:tcPr>
            <w:tcW w:w="13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3E1193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E1193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lastRenderedPageBreak/>
              <w:t>Pielikums Nr. 2</w:t>
            </w:r>
          </w:p>
          <w:p w:rsidR="00C8419C" w:rsidRPr="003E1193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255"/>
        </w:trPr>
        <w:tc>
          <w:tcPr>
            <w:tcW w:w="4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Objekts: "Ieejas mezgla remonts Talsu ielā 84, Ventspils"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trHeight w:val="255"/>
        </w:trPr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N.p.k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Mērv.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5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Kopējās izmaksas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Summa </w:t>
            </w:r>
          </w:p>
        </w:tc>
      </w:tr>
      <w:tr w:rsidR="00C8419C" w:rsidRPr="000E2757" w:rsidTr="00F82C91">
        <w:trPr>
          <w:gridAfter w:val="1"/>
          <w:wAfter w:w="8" w:type="dxa"/>
          <w:trHeight w:val="720"/>
        </w:trPr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Laika norma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samaksas likme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Darba alga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Materiāli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Mehānismi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arbietilpība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alga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Materiāli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Mehānismi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255"/>
        </w:trPr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F3B2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(c/h)</w:t>
            </w:r>
          </w:p>
        </w:tc>
        <w:tc>
          <w:tcPr>
            <w:tcW w:w="3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EUR</w:t>
            </w:r>
          </w:p>
        </w:tc>
      </w:tr>
      <w:tr w:rsidR="00C8419C" w:rsidRPr="000E2757" w:rsidTr="00F82C91">
        <w:trPr>
          <w:gridAfter w:val="1"/>
          <w:wAfter w:w="8" w:type="dxa"/>
          <w:trHeight w:val="25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</w:t>
            </w:r>
          </w:p>
        </w:tc>
      </w:tr>
      <w:tr w:rsidR="00C8419C" w:rsidRPr="000E2757" w:rsidTr="00F82C91">
        <w:trPr>
          <w:gridAfter w:val="1"/>
          <w:wAfter w:w="8" w:type="dxa"/>
          <w:trHeight w:val="573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Grīdas flīžu demontāža pakāpieniem un ieejas mezglam, būvgružu utilizācija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6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Ieejas mezgla mazgāšana ar augstspiediena ūdens strūklu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646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Virsmas pārslīpēšana, atputekļošana, gruntēšana ar </w:t>
            </w: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špakteļmasas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grunti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9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Virsmas izlīdzināšana ar salizturīgu </w:t>
            </w: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špakteļmasu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Schonox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PL</w:t>
            </w:r>
            <w:r w:rsidR="00B9033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(vai ekvivalents)</w:t>
            </w:r>
            <w:bookmarkStart w:id="0" w:name="_GoBack"/>
            <w:bookmarkEnd w:id="0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starpslīpēšana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6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Virsmas gruntēšana ar </w:t>
            </w: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epoksīda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grunti, </w:t>
            </w: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distanceru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iestrāde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6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Nosegplātņu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krāsošana ar tonētu poliuretānu (3 kārtās)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6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Alumīnija </w:t>
            </w: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profillīstu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piestiprināšana pakāpienu stūros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Rustik</w:t>
            </w:r>
            <w:proofErr w:type="spellEnd"/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akmentiņu klājuma izveide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28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6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Virsizdevumi (t.sk.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transporta izdevumi)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Plānotā peļņa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Soc.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0E27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nodoklis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sz w:val="16"/>
                <w:szCs w:val="20"/>
                <w:lang w:eastAsia="lv-LV"/>
              </w:rPr>
              <w:t>23.59%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8419C" w:rsidRPr="000E2757" w:rsidTr="00F82C91">
        <w:trPr>
          <w:gridAfter w:val="1"/>
          <w:wAfter w:w="8" w:type="dxa"/>
          <w:trHeight w:val="28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Kopā bez PVN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E27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9C" w:rsidRPr="000E2757" w:rsidRDefault="00C8419C" w:rsidP="00F82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C8419C" w:rsidRPr="000E2757" w:rsidRDefault="00C8419C" w:rsidP="00C841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55C3" w:rsidRDefault="005155C3"/>
    <w:sectPr w:rsidR="005155C3" w:rsidSect="00B12180">
      <w:pgSz w:w="16838" w:h="11906" w:orient="landscape"/>
      <w:pgMar w:top="567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4051"/>
    <w:multiLevelType w:val="multilevel"/>
    <w:tmpl w:val="0626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9C"/>
    <w:rsid w:val="003825AA"/>
    <w:rsid w:val="005155C3"/>
    <w:rsid w:val="005B6EB6"/>
    <w:rsid w:val="007472F3"/>
    <w:rsid w:val="00B90337"/>
    <w:rsid w:val="00C8419C"/>
    <w:rsid w:val="00D72E56"/>
    <w:rsid w:val="00E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7A4B5"/>
  <w15:chartTrackingRefBased/>
  <w15:docId w15:val="{76450903-19DA-4CC1-BD50-A4C9D71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9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7</cp:revision>
  <dcterms:created xsi:type="dcterms:W3CDTF">2024-05-28T12:22:00Z</dcterms:created>
  <dcterms:modified xsi:type="dcterms:W3CDTF">2024-05-28T13:37:00Z</dcterms:modified>
</cp:coreProperties>
</file>