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8E" w:rsidRPr="00D57460" w:rsidRDefault="0078348E" w:rsidP="0078348E">
      <w:pPr>
        <w:spacing w:after="120"/>
        <w:rPr>
          <w:rFonts w:ascii="Times New Roman" w:hAnsi="Times New Roman"/>
          <w:sz w:val="24"/>
          <w:szCs w:val="20"/>
        </w:rPr>
      </w:pPr>
      <w:bookmarkStart w:id="0" w:name="_GoBack"/>
      <w:bookmarkEnd w:id="0"/>
      <w:r w:rsidRPr="00D57460">
        <w:rPr>
          <w:rFonts w:ascii="Times New Roman" w:hAnsi="Times New Roman"/>
          <w:b/>
          <w:bCs/>
          <w:caps/>
          <w:sz w:val="24"/>
          <w:szCs w:val="20"/>
        </w:rPr>
        <w:t>Apjomu Tabulas</w:t>
      </w:r>
    </w:p>
    <w:p w:rsidR="0078348E" w:rsidRPr="00D57460" w:rsidRDefault="0060001F" w:rsidP="0078348E">
      <w:pPr>
        <w:spacing w:before="60" w:after="60"/>
        <w:jc w:val="both"/>
        <w:rPr>
          <w:rFonts w:ascii="Times New Roman" w:hAnsi="Times New Roman"/>
          <w:sz w:val="24"/>
          <w:szCs w:val="20"/>
        </w:rPr>
      </w:pPr>
      <w:r w:rsidRPr="00D57460">
        <w:rPr>
          <w:rFonts w:ascii="Times New Roman" w:hAnsi="Times New Roman"/>
          <w:sz w:val="24"/>
          <w:szCs w:val="20"/>
        </w:rPr>
        <w:t xml:space="preserve">Apjomu tabulas, turpmāk sauktas arī kā tāmes </w:t>
      </w:r>
      <w:r w:rsidR="0078348E" w:rsidRPr="00D57460">
        <w:rPr>
          <w:rFonts w:ascii="Times New Roman" w:hAnsi="Times New Roman"/>
          <w:sz w:val="24"/>
          <w:szCs w:val="20"/>
        </w:rPr>
        <w:t xml:space="preserve">(sk. </w:t>
      </w:r>
      <w:r w:rsidR="006151A0" w:rsidRPr="00D57460">
        <w:rPr>
          <w:rFonts w:ascii="Times New Roman" w:hAnsi="Times New Roman"/>
          <w:sz w:val="24"/>
          <w:szCs w:val="20"/>
        </w:rPr>
        <w:t xml:space="preserve">elektroniskā formātā </w:t>
      </w:r>
      <w:r w:rsidR="0078348E" w:rsidRPr="00D57460">
        <w:rPr>
          <w:rFonts w:ascii="Times New Roman" w:hAnsi="Times New Roman"/>
          <w:sz w:val="24"/>
          <w:szCs w:val="20"/>
        </w:rPr>
        <w:t>.xls</w:t>
      </w:r>
      <w:r w:rsidR="00C14FBE" w:rsidRPr="00D57460">
        <w:rPr>
          <w:rFonts w:ascii="Times New Roman" w:hAnsi="Times New Roman"/>
          <w:sz w:val="24"/>
          <w:szCs w:val="20"/>
        </w:rPr>
        <w:t>x</w:t>
      </w:r>
      <w:r w:rsidRPr="00D57460">
        <w:rPr>
          <w:rFonts w:ascii="Times New Roman" w:hAnsi="Times New Roman"/>
          <w:sz w:val="24"/>
          <w:szCs w:val="20"/>
        </w:rPr>
        <w:t xml:space="preserve"> </w:t>
      </w:r>
      <w:r w:rsidR="00243052">
        <w:rPr>
          <w:rFonts w:ascii="Times New Roman" w:hAnsi="Times New Roman"/>
          <w:sz w:val="24"/>
          <w:szCs w:val="20"/>
        </w:rPr>
        <w:t>Iepirkuma n</w:t>
      </w:r>
      <w:r w:rsidR="00C34FF9" w:rsidRPr="00D57460">
        <w:rPr>
          <w:rFonts w:ascii="Times New Roman" w:hAnsi="Times New Roman"/>
          <w:sz w:val="24"/>
          <w:szCs w:val="20"/>
        </w:rPr>
        <w:t xml:space="preserve">olikuma </w:t>
      </w:r>
      <w:r w:rsidR="00E507FF">
        <w:rPr>
          <w:rFonts w:ascii="Times New Roman" w:hAnsi="Times New Roman"/>
          <w:sz w:val="24"/>
          <w:szCs w:val="20"/>
        </w:rPr>
        <w:t>8</w:t>
      </w:r>
      <w:r w:rsidR="006151A0" w:rsidRPr="00D57460">
        <w:rPr>
          <w:rFonts w:ascii="Times New Roman" w:hAnsi="Times New Roman"/>
          <w:sz w:val="24"/>
          <w:szCs w:val="20"/>
        </w:rPr>
        <w:t>.</w:t>
      </w:r>
      <w:r w:rsidR="00C34FF9" w:rsidRPr="00D57460">
        <w:rPr>
          <w:rFonts w:ascii="Times New Roman" w:hAnsi="Times New Roman"/>
          <w:sz w:val="24"/>
          <w:szCs w:val="20"/>
        </w:rPr>
        <w:t xml:space="preserve"> pielikum</w:t>
      </w:r>
      <w:r w:rsidR="00772F29" w:rsidRPr="00D57460">
        <w:rPr>
          <w:rFonts w:ascii="Times New Roman" w:hAnsi="Times New Roman"/>
          <w:sz w:val="24"/>
          <w:szCs w:val="20"/>
        </w:rPr>
        <w:t>u</w:t>
      </w:r>
      <w:r w:rsidR="0004091E" w:rsidRPr="00D57460">
        <w:rPr>
          <w:rFonts w:ascii="Times New Roman" w:hAnsi="Times New Roman"/>
          <w:sz w:val="24"/>
          <w:szCs w:val="20"/>
        </w:rPr>
        <w:t xml:space="preserve"> </w:t>
      </w:r>
      <w:r w:rsidR="006151A0" w:rsidRPr="00D57460">
        <w:rPr>
          <w:rFonts w:ascii="Times New Roman" w:hAnsi="Times New Roman"/>
          <w:sz w:val="24"/>
          <w:szCs w:val="20"/>
        </w:rPr>
        <w:t>„</w:t>
      </w:r>
      <w:r w:rsidR="0004091E" w:rsidRPr="00D57460">
        <w:rPr>
          <w:rFonts w:ascii="Times New Roman" w:hAnsi="Times New Roman"/>
          <w:sz w:val="24"/>
          <w:szCs w:val="20"/>
        </w:rPr>
        <w:t>Finanšu piedāvājuma veidne”</w:t>
      </w:r>
      <w:r w:rsidR="00C34FF9" w:rsidRPr="00D57460">
        <w:rPr>
          <w:rFonts w:ascii="Times New Roman" w:hAnsi="Times New Roman"/>
          <w:sz w:val="24"/>
          <w:szCs w:val="20"/>
        </w:rPr>
        <w:t>)</w:t>
      </w:r>
      <w:r w:rsidR="0078348E" w:rsidRPr="00D57460">
        <w:rPr>
          <w:rFonts w:ascii="Times New Roman" w:hAnsi="Times New Roman"/>
          <w:sz w:val="24"/>
          <w:szCs w:val="20"/>
        </w:rPr>
        <w:t>, kas aizpildītas saskaņā ar šo prasīto informāciju, veido finanšu piedāvājumu.</w:t>
      </w:r>
    </w:p>
    <w:p w:rsidR="00AA2C10" w:rsidRPr="00D57460" w:rsidRDefault="0060001F" w:rsidP="00FD0FFD">
      <w:pPr>
        <w:pStyle w:val="StyleAArial10ptLeft0cm"/>
        <w:jc w:val="both"/>
        <w:rPr>
          <w:rFonts w:ascii="Times New Roman" w:hAnsi="Times New Roman"/>
          <w:sz w:val="24"/>
        </w:rPr>
      </w:pPr>
      <w:r w:rsidRPr="00D57460">
        <w:rPr>
          <w:rFonts w:ascii="Times New Roman" w:hAnsi="Times New Roman" w:cs="Times New Roman"/>
          <w:iCs/>
          <w:sz w:val="24"/>
        </w:rPr>
        <w:t>Pretendentam</w:t>
      </w:r>
      <w:r w:rsidR="006F386E" w:rsidRPr="00D57460">
        <w:rPr>
          <w:rFonts w:ascii="Times New Roman" w:hAnsi="Times New Roman" w:cs="Times New Roman"/>
          <w:iCs/>
          <w:sz w:val="24"/>
        </w:rPr>
        <w:t xml:space="preserve"> ir jāizceno visas tāmēs norādītās pozīcijas. Pozīcij</w:t>
      </w:r>
      <w:r w:rsidRPr="00D57460">
        <w:rPr>
          <w:rFonts w:ascii="Times New Roman" w:hAnsi="Times New Roman" w:cs="Times New Roman"/>
          <w:iCs/>
          <w:sz w:val="24"/>
        </w:rPr>
        <w:t>ā</w:t>
      </w:r>
      <w:r w:rsidR="006F386E" w:rsidRPr="00D57460">
        <w:rPr>
          <w:rFonts w:ascii="Times New Roman" w:hAnsi="Times New Roman" w:cs="Times New Roman"/>
          <w:iCs/>
          <w:sz w:val="24"/>
        </w:rPr>
        <w:t>s iekļautajām cenām jābūt punktos aprakstīto darbu pilnām vērtībām, ieskaitot visas izmaksas, kas varētu būt nepieciešamas būvdarbu laikā darbu uzsākšanai un organizēšanai, kas aprakstīta</w:t>
      </w:r>
      <w:r w:rsidRPr="00D57460">
        <w:rPr>
          <w:rFonts w:ascii="Times New Roman" w:hAnsi="Times New Roman" w:cs="Times New Roman"/>
          <w:iCs/>
          <w:sz w:val="24"/>
        </w:rPr>
        <w:t>s</w:t>
      </w:r>
      <w:r w:rsidR="006F386E" w:rsidRPr="00D57460">
        <w:rPr>
          <w:rFonts w:ascii="Times New Roman" w:hAnsi="Times New Roman" w:cs="Times New Roman"/>
          <w:iCs/>
          <w:sz w:val="24"/>
        </w:rPr>
        <w:t xml:space="preserve"> kopā ar jebkuru pagaidu būvi un tās uzstādīšanu, kas var būt nepieciešama, kā arī vispārējiem riskiem, atbildību un pienākumiem, kas noteikti dokumentos</w:t>
      </w:r>
      <w:r w:rsidR="001117DD" w:rsidRPr="00D57460">
        <w:rPr>
          <w:rFonts w:ascii="Times New Roman" w:hAnsi="Times New Roman" w:cs="Times New Roman"/>
          <w:iCs/>
          <w:sz w:val="24"/>
        </w:rPr>
        <w:t>,</w:t>
      </w:r>
      <w:r w:rsidR="006F386E" w:rsidRPr="00D57460">
        <w:rPr>
          <w:rFonts w:ascii="Times New Roman" w:hAnsi="Times New Roman" w:cs="Times New Roman"/>
          <w:iCs/>
          <w:sz w:val="24"/>
        </w:rPr>
        <w:t xml:space="preserve"> uz kuriem balstās </w:t>
      </w:r>
      <w:r w:rsidR="00243052">
        <w:rPr>
          <w:rFonts w:ascii="Times New Roman" w:hAnsi="Times New Roman" w:cs="Times New Roman"/>
          <w:iCs/>
          <w:sz w:val="24"/>
        </w:rPr>
        <w:t>I</w:t>
      </w:r>
      <w:r w:rsidR="00A02D4E" w:rsidRPr="00D57460">
        <w:rPr>
          <w:rFonts w:ascii="Times New Roman" w:hAnsi="Times New Roman" w:cs="Times New Roman"/>
          <w:iCs/>
          <w:sz w:val="24"/>
        </w:rPr>
        <w:t xml:space="preserve">epirkuma </w:t>
      </w:r>
      <w:r w:rsidR="006F386E" w:rsidRPr="00D57460">
        <w:rPr>
          <w:rFonts w:ascii="Times New Roman" w:hAnsi="Times New Roman" w:cs="Times New Roman"/>
          <w:iCs/>
          <w:sz w:val="24"/>
        </w:rPr>
        <w:t>nolikums</w:t>
      </w:r>
      <w:r w:rsidRPr="00D57460">
        <w:rPr>
          <w:rFonts w:ascii="Times New Roman" w:hAnsi="Times New Roman" w:cs="Times New Roman"/>
          <w:iCs/>
          <w:sz w:val="24"/>
        </w:rPr>
        <w:t xml:space="preserve"> un </w:t>
      </w:r>
      <w:r w:rsidR="00243052">
        <w:rPr>
          <w:rFonts w:ascii="Times New Roman" w:hAnsi="Times New Roman" w:cs="Times New Roman"/>
          <w:iCs/>
          <w:sz w:val="24"/>
        </w:rPr>
        <w:t>I</w:t>
      </w:r>
      <w:r w:rsidRPr="00D57460">
        <w:rPr>
          <w:rFonts w:ascii="Times New Roman" w:hAnsi="Times New Roman" w:cs="Times New Roman"/>
          <w:iCs/>
          <w:sz w:val="24"/>
        </w:rPr>
        <w:t>epirkuma līgums</w:t>
      </w:r>
      <w:r w:rsidR="006F386E" w:rsidRPr="00D57460">
        <w:rPr>
          <w:rFonts w:ascii="Times New Roman" w:hAnsi="Times New Roman" w:cs="Times New Roman"/>
          <w:iCs/>
          <w:sz w:val="24"/>
        </w:rPr>
        <w:t xml:space="preserve">. </w:t>
      </w:r>
    </w:p>
    <w:p w:rsidR="0078348E" w:rsidRPr="00D57460" w:rsidRDefault="0078348E" w:rsidP="0078348E">
      <w:pPr>
        <w:spacing w:before="60" w:after="60"/>
        <w:jc w:val="both"/>
        <w:rPr>
          <w:rFonts w:ascii="Times New Roman" w:hAnsi="Times New Roman"/>
          <w:sz w:val="24"/>
          <w:szCs w:val="20"/>
        </w:rPr>
      </w:pPr>
      <w:r w:rsidRPr="00D57460">
        <w:rPr>
          <w:rFonts w:ascii="Times New Roman" w:hAnsi="Times New Roman"/>
          <w:sz w:val="24"/>
          <w:szCs w:val="20"/>
        </w:rPr>
        <w:t xml:space="preserve">Visas izmaksas jāizsaka </w:t>
      </w:r>
      <w:r w:rsidR="0040258E" w:rsidRPr="00D57460">
        <w:rPr>
          <w:rFonts w:ascii="Times New Roman" w:hAnsi="Times New Roman"/>
          <w:sz w:val="24"/>
          <w:szCs w:val="20"/>
        </w:rPr>
        <w:t>e</w:t>
      </w:r>
      <w:r w:rsidR="008F127A" w:rsidRPr="00D57460">
        <w:rPr>
          <w:rFonts w:ascii="Times New Roman" w:hAnsi="Times New Roman"/>
          <w:sz w:val="24"/>
          <w:szCs w:val="20"/>
        </w:rPr>
        <w:t>i</w:t>
      </w:r>
      <w:r w:rsidR="0040258E" w:rsidRPr="00D57460">
        <w:rPr>
          <w:rFonts w:ascii="Times New Roman" w:hAnsi="Times New Roman"/>
          <w:sz w:val="24"/>
          <w:szCs w:val="20"/>
        </w:rPr>
        <w:t xml:space="preserve">ro (EUR) </w:t>
      </w:r>
      <w:r w:rsidRPr="00D57460">
        <w:rPr>
          <w:rFonts w:ascii="Times New Roman" w:hAnsi="Times New Roman"/>
          <w:sz w:val="24"/>
          <w:szCs w:val="20"/>
        </w:rPr>
        <w:t>bez Pievienotās vērtības nodokļa 2</w:t>
      </w:r>
      <w:r w:rsidR="00F3431F" w:rsidRPr="00D57460">
        <w:rPr>
          <w:rFonts w:ascii="Times New Roman" w:hAnsi="Times New Roman"/>
          <w:sz w:val="24"/>
          <w:szCs w:val="20"/>
        </w:rPr>
        <w:t>1</w:t>
      </w:r>
      <w:r w:rsidRPr="00D57460">
        <w:rPr>
          <w:rFonts w:ascii="Times New Roman" w:hAnsi="Times New Roman"/>
          <w:sz w:val="24"/>
          <w:szCs w:val="20"/>
        </w:rPr>
        <w:t xml:space="preserve">% (PVN). Finanšu piedāvājumā izdevumu pozīcijas uzrādīt, kā arī vienību izmaksas un izmaksas kopā uz visu apjomu aprēķināt, </w:t>
      </w:r>
      <w:r w:rsidRPr="00D57460">
        <w:rPr>
          <w:rFonts w:ascii="Times New Roman" w:hAnsi="Times New Roman"/>
          <w:b/>
          <w:bCs/>
          <w:sz w:val="24"/>
          <w:szCs w:val="20"/>
          <w:u w:val="single"/>
        </w:rPr>
        <w:t>cenu norādot ar diviem cipariem aiz komata.</w:t>
      </w:r>
    </w:p>
    <w:p w:rsidR="0078348E" w:rsidRPr="00D57460" w:rsidRDefault="00B42CD4" w:rsidP="00D6015A">
      <w:pPr>
        <w:spacing w:before="60" w:after="60"/>
        <w:jc w:val="both"/>
        <w:rPr>
          <w:rFonts w:ascii="Times New Roman" w:hAnsi="Times New Roman"/>
          <w:sz w:val="24"/>
          <w:szCs w:val="20"/>
        </w:rPr>
      </w:pPr>
      <w:r w:rsidRPr="00D57460">
        <w:rPr>
          <w:rFonts w:ascii="Times New Roman" w:hAnsi="Times New Roman"/>
          <w:sz w:val="24"/>
          <w:szCs w:val="20"/>
        </w:rPr>
        <w:t>Apjomu tabulas</w:t>
      </w:r>
      <w:r w:rsidR="001F7299" w:rsidRPr="00D57460">
        <w:rPr>
          <w:rFonts w:ascii="Times New Roman" w:hAnsi="Times New Roman"/>
          <w:sz w:val="24"/>
          <w:szCs w:val="20"/>
        </w:rPr>
        <w:t xml:space="preserve"> </w:t>
      </w:r>
      <w:r w:rsidR="005435C5" w:rsidRPr="00D57460">
        <w:rPr>
          <w:rFonts w:ascii="Times New Roman" w:hAnsi="Times New Roman"/>
          <w:sz w:val="24"/>
          <w:szCs w:val="20"/>
        </w:rPr>
        <w:t>jeb tāmes</w:t>
      </w:r>
      <w:r w:rsidR="0060001F" w:rsidRPr="00D57460">
        <w:rPr>
          <w:rFonts w:ascii="Times New Roman" w:hAnsi="Times New Roman"/>
          <w:sz w:val="24"/>
          <w:szCs w:val="20"/>
        </w:rPr>
        <w:t xml:space="preserve"> </w:t>
      </w:r>
      <w:r w:rsidR="00D57460">
        <w:rPr>
          <w:rFonts w:ascii="Times New Roman" w:hAnsi="Times New Roman"/>
          <w:sz w:val="24"/>
          <w:szCs w:val="20"/>
        </w:rPr>
        <w:t xml:space="preserve">– </w:t>
      </w:r>
      <w:r w:rsidR="001F7299" w:rsidRPr="00D57460">
        <w:rPr>
          <w:rFonts w:ascii="Times New Roman" w:hAnsi="Times New Roman"/>
          <w:sz w:val="24"/>
          <w:szCs w:val="20"/>
        </w:rPr>
        <w:t xml:space="preserve">Nolikuma </w:t>
      </w:r>
      <w:r w:rsidR="003002C1">
        <w:rPr>
          <w:rFonts w:ascii="Times New Roman" w:hAnsi="Times New Roman"/>
          <w:sz w:val="24"/>
          <w:szCs w:val="20"/>
        </w:rPr>
        <w:t>8</w:t>
      </w:r>
      <w:r w:rsidR="00D57460">
        <w:rPr>
          <w:rFonts w:ascii="Times New Roman" w:hAnsi="Times New Roman"/>
          <w:sz w:val="24"/>
          <w:szCs w:val="20"/>
        </w:rPr>
        <w:t>.</w:t>
      </w:r>
      <w:r w:rsidR="001F7299" w:rsidRPr="00D57460">
        <w:rPr>
          <w:rFonts w:ascii="Times New Roman" w:hAnsi="Times New Roman"/>
          <w:sz w:val="24"/>
          <w:szCs w:val="20"/>
        </w:rPr>
        <w:t xml:space="preserve"> pielikums</w:t>
      </w:r>
      <w:r w:rsidR="00772F29" w:rsidRPr="00D57460">
        <w:rPr>
          <w:rFonts w:ascii="Times New Roman" w:hAnsi="Times New Roman"/>
          <w:sz w:val="24"/>
          <w:szCs w:val="20"/>
        </w:rPr>
        <w:t xml:space="preserve"> </w:t>
      </w:r>
      <w:r w:rsidR="00D57460">
        <w:rPr>
          <w:rFonts w:ascii="Times New Roman" w:hAnsi="Times New Roman"/>
          <w:sz w:val="24"/>
          <w:szCs w:val="20"/>
        </w:rPr>
        <w:t>„</w:t>
      </w:r>
      <w:r w:rsidR="00772F29" w:rsidRPr="00D57460">
        <w:rPr>
          <w:rFonts w:ascii="Times New Roman" w:hAnsi="Times New Roman"/>
          <w:sz w:val="24"/>
          <w:szCs w:val="20"/>
        </w:rPr>
        <w:t>Finanšu piedāvājuma veidne”</w:t>
      </w:r>
      <w:r w:rsidR="0060001F" w:rsidRPr="00D57460">
        <w:rPr>
          <w:rFonts w:ascii="Times New Roman" w:hAnsi="Times New Roman"/>
          <w:sz w:val="24"/>
          <w:szCs w:val="20"/>
        </w:rPr>
        <w:t xml:space="preserve"> </w:t>
      </w:r>
      <w:r w:rsidR="00E84F2B">
        <w:rPr>
          <w:rFonts w:ascii="Times New Roman" w:hAnsi="Times New Roman"/>
          <w:sz w:val="24"/>
          <w:szCs w:val="20"/>
        </w:rPr>
        <w:t>–</w:t>
      </w:r>
      <w:r w:rsidRPr="00D57460">
        <w:rPr>
          <w:rFonts w:ascii="Times New Roman" w:hAnsi="Times New Roman"/>
          <w:sz w:val="24"/>
          <w:szCs w:val="20"/>
        </w:rPr>
        <w:t xml:space="preserve"> ir jāaizpilda atbilstoši </w:t>
      </w:r>
      <w:r w:rsidR="008D6D6C" w:rsidRPr="00D57460">
        <w:rPr>
          <w:rFonts w:ascii="Times New Roman" w:hAnsi="Times New Roman"/>
          <w:sz w:val="24"/>
          <w:szCs w:val="20"/>
        </w:rPr>
        <w:t xml:space="preserve">veidnei un </w:t>
      </w:r>
      <w:r w:rsidRPr="00D57460">
        <w:rPr>
          <w:rFonts w:ascii="Times New Roman" w:hAnsi="Times New Roman"/>
          <w:sz w:val="24"/>
          <w:szCs w:val="20"/>
        </w:rPr>
        <w:t>201</w:t>
      </w:r>
      <w:r w:rsidR="007C6C7E" w:rsidRPr="00D57460">
        <w:rPr>
          <w:rFonts w:ascii="Times New Roman" w:hAnsi="Times New Roman"/>
          <w:sz w:val="24"/>
          <w:szCs w:val="20"/>
        </w:rPr>
        <w:t>7</w:t>
      </w:r>
      <w:r w:rsidRPr="00D57460">
        <w:rPr>
          <w:rFonts w:ascii="Times New Roman" w:hAnsi="Times New Roman"/>
          <w:sz w:val="24"/>
          <w:szCs w:val="20"/>
        </w:rPr>
        <w:t>.</w:t>
      </w:r>
      <w:r w:rsidR="00E84F2B">
        <w:rPr>
          <w:rFonts w:ascii="Times New Roman" w:hAnsi="Times New Roman"/>
          <w:sz w:val="24"/>
          <w:szCs w:val="20"/>
        </w:rPr>
        <w:t xml:space="preserve"> </w:t>
      </w:r>
      <w:r w:rsidR="003002C1">
        <w:rPr>
          <w:rFonts w:ascii="Times New Roman" w:hAnsi="Times New Roman"/>
          <w:sz w:val="24"/>
          <w:szCs w:val="20"/>
        </w:rPr>
        <w:t>g</w:t>
      </w:r>
      <w:r w:rsidRPr="00D57460">
        <w:rPr>
          <w:rFonts w:ascii="Times New Roman" w:hAnsi="Times New Roman"/>
          <w:sz w:val="24"/>
          <w:szCs w:val="20"/>
        </w:rPr>
        <w:t xml:space="preserve">ada </w:t>
      </w:r>
      <w:r w:rsidR="007C6C7E" w:rsidRPr="00D57460">
        <w:rPr>
          <w:rFonts w:ascii="Times New Roman" w:hAnsi="Times New Roman"/>
          <w:sz w:val="24"/>
          <w:szCs w:val="20"/>
        </w:rPr>
        <w:t>3.</w:t>
      </w:r>
      <w:r w:rsidR="00E84F2B">
        <w:rPr>
          <w:rFonts w:ascii="Times New Roman" w:hAnsi="Times New Roman"/>
          <w:sz w:val="24"/>
          <w:szCs w:val="20"/>
        </w:rPr>
        <w:t xml:space="preserve"> </w:t>
      </w:r>
      <w:r w:rsidR="007C6C7E" w:rsidRPr="00D57460">
        <w:rPr>
          <w:rFonts w:ascii="Times New Roman" w:hAnsi="Times New Roman"/>
          <w:sz w:val="24"/>
          <w:szCs w:val="20"/>
        </w:rPr>
        <w:t>maija</w:t>
      </w:r>
      <w:r w:rsidRPr="00D57460">
        <w:rPr>
          <w:rFonts w:ascii="Times New Roman" w:hAnsi="Times New Roman"/>
          <w:sz w:val="24"/>
          <w:szCs w:val="20"/>
        </w:rPr>
        <w:t xml:space="preserve"> Ministru kabineta noteikumiem Nr.</w:t>
      </w:r>
      <w:r w:rsidR="007C6C7E" w:rsidRPr="00D57460">
        <w:rPr>
          <w:rFonts w:ascii="Times New Roman" w:hAnsi="Times New Roman"/>
          <w:sz w:val="24"/>
          <w:szCs w:val="20"/>
        </w:rPr>
        <w:t>239</w:t>
      </w:r>
      <w:r w:rsidRPr="00D57460">
        <w:rPr>
          <w:rFonts w:ascii="Times New Roman" w:hAnsi="Times New Roman"/>
          <w:sz w:val="24"/>
          <w:szCs w:val="20"/>
        </w:rPr>
        <w:t xml:space="preserve"> </w:t>
      </w:r>
      <w:r w:rsidR="00E84F2B">
        <w:rPr>
          <w:rFonts w:ascii="Times New Roman" w:hAnsi="Times New Roman"/>
          <w:sz w:val="24"/>
          <w:szCs w:val="20"/>
        </w:rPr>
        <w:t>„</w:t>
      </w:r>
      <w:r w:rsidR="007C6C7E" w:rsidRPr="00D57460">
        <w:rPr>
          <w:rFonts w:ascii="Times New Roman" w:hAnsi="Times New Roman"/>
          <w:sz w:val="24"/>
          <w:szCs w:val="20"/>
        </w:rPr>
        <w:t xml:space="preserve">Noteikumi par Latvijas būvnormatīvu LBN 501-17 </w:t>
      </w:r>
      <w:r w:rsidR="003002C1">
        <w:rPr>
          <w:rFonts w:ascii="Times New Roman" w:hAnsi="Times New Roman"/>
          <w:sz w:val="24"/>
          <w:szCs w:val="20"/>
        </w:rPr>
        <w:t>„Būvizmaksu noteikšanas kārtība”</w:t>
      </w:r>
      <w:r w:rsidRPr="00D57460">
        <w:rPr>
          <w:rFonts w:ascii="Times New Roman" w:hAnsi="Times New Roman"/>
          <w:sz w:val="24"/>
          <w:szCs w:val="20"/>
        </w:rPr>
        <w:t>” pēc pievienotā parauga:</w:t>
      </w:r>
    </w:p>
    <w:tbl>
      <w:tblPr>
        <w:tblW w:w="14449" w:type="dxa"/>
        <w:jc w:val="center"/>
        <w:tblLayout w:type="fixed"/>
        <w:tblCellMar>
          <w:left w:w="0" w:type="dxa"/>
          <w:right w:w="0" w:type="dxa"/>
        </w:tblCellMar>
        <w:tblLook w:val="04A0" w:firstRow="1" w:lastRow="0" w:firstColumn="1" w:lastColumn="0" w:noHBand="0" w:noVBand="1"/>
      </w:tblPr>
      <w:tblGrid>
        <w:gridCol w:w="578"/>
        <w:gridCol w:w="552"/>
        <w:gridCol w:w="552"/>
        <w:gridCol w:w="552"/>
        <w:gridCol w:w="552"/>
        <w:gridCol w:w="552"/>
        <w:gridCol w:w="616"/>
        <w:gridCol w:w="1560"/>
        <w:gridCol w:w="708"/>
        <w:gridCol w:w="709"/>
        <w:gridCol w:w="851"/>
        <w:gridCol w:w="1275"/>
        <w:gridCol w:w="1276"/>
        <w:gridCol w:w="1418"/>
        <w:gridCol w:w="1559"/>
        <w:gridCol w:w="1139"/>
      </w:tblGrid>
      <w:tr w:rsidR="00BB69D0" w:rsidRPr="001659CE" w:rsidTr="001659CE">
        <w:trPr>
          <w:cantSplit/>
          <w:trHeight w:val="491"/>
          <w:jc w:val="center"/>
        </w:trPr>
        <w:tc>
          <w:tcPr>
            <w:tcW w:w="578" w:type="dxa"/>
            <w:vMerge w:val="restart"/>
            <w:tcBorders>
              <w:top w:val="single" w:sz="12" w:space="0" w:color="auto"/>
              <w:left w:val="single" w:sz="12" w:space="0" w:color="auto"/>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2B2242"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Nr.p.</w:t>
            </w:r>
            <w:r w:rsidR="0078348E" w:rsidRPr="001659CE">
              <w:rPr>
                <w:rFonts w:ascii="Times New Roman" w:hAnsi="Times New Roman"/>
                <w:color w:val="000000"/>
                <w:sz w:val="20"/>
                <w:szCs w:val="20"/>
              </w:rPr>
              <w:t>k.</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Kods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95625" w:rsidP="00795625">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Būvdarbu nosaukums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Mērvienība</w:t>
            </w:r>
          </w:p>
        </w:tc>
        <w:tc>
          <w:tcPr>
            <w:tcW w:w="552" w:type="dxa"/>
            <w:vMerge w:val="restart"/>
            <w:tcBorders>
              <w:top w:val="single" w:sz="12" w:space="0" w:color="auto"/>
              <w:left w:val="nil"/>
              <w:bottom w:val="single" w:sz="12" w:space="0" w:color="auto"/>
              <w:right w:val="single" w:sz="12" w:space="0" w:color="auto"/>
            </w:tcBorders>
            <w:shd w:val="clear" w:color="auto" w:fill="FFFF00"/>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Daudzums (Q)</w:t>
            </w:r>
          </w:p>
        </w:tc>
        <w:tc>
          <w:tcPr>
            <w:tcW w:w="4996" w:type="dxa"/>
            <w:gridSpan w:val="6"/>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Vienības izmaksas</w:t>
            </w:r>
          </w:p>
        </w:tc>
        <w:tc>
          <w:tcPr>
            <w:tcW w:w="6667" w:type="dxa"/>
            <w:gridSpan w:val="5"/>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Kopā uz visu apjomu</w:t>
            </w:r>
          </w:p>
        </w:tc>
      </w:tr>
      <w:tr w:rsidR="00BB69D0" w:rsidRPr="001659CE" w:rsidTr="001659CE">
        <w:trPr>
          <w:cantSplit/>
          <w:trHeight w:val="1620"/>
          <w:jc w:val="center"/>
        </w:trPr>
        <w:tc>
          <w:tcPr>
            <w:tcW w:w="578" w:type="dxa"/>
            <w:vMerge/>
            <w:tcBorders>
              <w:top w:val="single" w:sz="12" w:space="0" w:color="auto"/>
              <w:left w:val="single" w:sz="12" w:space="0" w:color="auto"/>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12" w:space="0" w:color="auto"/>
            </w:tcBorders>
            <w:vAlign w:val="center"/>
          </w:tcPr>
          <w:p w:rsidR="0078348E" w:rsidRPr="001659CE" w:rsidRDefault="0078348E">
            <w:pPr>
              <w:rPr>
                <w:rFonts w:ascii="Times New Roman" w:hAnsi="Times New Roman"/>
                <w:color w:val="000000"/>
                <w:sz w:val="20"/>
                <w:szCs w:val="20"/>
              </w:rPr>
            </w:pPr>
          </w:p>
        </w:tc>
        <w:tc>
          <w:tcPr>
            <w:tcW w:w="552"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Laika norma (c/h)</w:t>
            </w:r>
          </w:p>
        </w:tc>
        <w:tc>
          <w:tcPr>
            <w:tcW w:w="616" w:type="dxa"/>
            <w:tcBorders>
              <w:top w:val="nil"/>
              <w:left w:val="nil"/>
              <w:bottom w:val="single" w:sz="12" w:space="0" w:color="auto"/>
              <w:right w:val="single" w:sz="8" w:space="0" w:color="auto"/>
            </w:tcBorders>
            <w:tcMar>
              <w:top w:w="0" w:type="dxa"/>
              <w:left w:w="30" w:type="dxa"/>
              <w:bottom w:w="0" w:type="dxa"/>
              <w:right w:w="30" w:type="dxa"/>
            </w:tcMar>
            <w:textDirection w:val="btL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samaksas likme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/h)</w:t>
            </w:r>
          </w:p>
        </w:tc>
        <w:tc>
          <w:tcPr>
            <w:tcW w:w="1560"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70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709"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851"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Kopā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275"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Darbietilpība (c/h)</w:t>
            </w:r>
          </w:p>
        </w:tc>
        <w:tc>
          <w:tcPr>
            <w:tcW w:w="1276"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41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155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13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b/>
                <w:bCs/>
                <w:color w:val="000000"/>
                <w:sz w:val="20"/>
                <w:szCs w:val="20"/>
              </w:rPr>
            </w:pPr>
            <w:r w:rsidRPr="001659CE">
              <w:rPr>
                <w:rFonts w:ascii="Times New Roman" w:hAnsi="Times New Roman"/>
                <w:b/>
                <w:bCs/>
                <w:color w:val="000000"/>
                <w:sz w:val="20"/>
                <w:szCs w:val="20"/>
              </w:rPr>
              <w:t>Summa (</w:t>
            </w:r>
            <w:r w:rsidR="00702DB0" w:rsidRPr="001659CE">
              <w:rPr>
                <w:rFonts w:ascii="Times New Roman" w:hAnsi="Times New Roman"/>
                <w:b/>
                <w:bCs/>
                <w:color w:val="000000"/>
                <w:sz w:val="20"/>
                <w:szCs w:val="20"/>
              </w:rPr>
              <w:t xml:space="preserve">EUR </w:t>
            </w:r>
            <w:r w:rsidRPr="001659CE">
              <w:rPr>
                <w:rFonts w:ascii="Times New Roman" w:hAnsi="Times New Roman"/>
                <w:b/>
                <w:bCs/>
                <w:color w:val="000000"/>
                <w:sz w:val="20"/>
                <w:szCs w:val="20"/>
              </w:rPr>
              <w:t>bez PVN)</w:t>
            </w:r>
          </w:p>
        </w:tc>
      </w:tr>
      <w:tr w:rsidR="00901D90" w:rsidRPr="001659CE" w:rsidTr="001659CE">
        <w:trPr>
          <w:trHeight w:val="112"/>
          <w:jc w:val="center"/>
        </w:trPr>
        <w:tc>
          <w:tcPr>
            <w:tcW w:w="578" w:type="dxa"/>
            <w:tcBorders>
              <w:top w:val="nil"/>
              <w:left w:val="single" w:sz="12" w:space="0" w:color="auto"/>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2</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3</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4</w:t>
            </w:r>
          </w:p>
        </w:tc>
        <w:tc>
          <w:tcPr>
            <w:tcW w:w="552"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5</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6</w:t>
            </w:r>
          </w:p>
        </w:tc>
        <w:tc>
          <w:tcPr>
            <w:tcW w:w="61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7</w:t>
            </w:r>
          </w:p>
        </w:tc>
        <w:tc>
          <w:tcPr>
            <w:tcW w:w="1560"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8</w:t>
            </w:r>
          </w:p>
        </w:tc>
        <w:tc>
          <w:tcPr>
            <w:tcW w:w="70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9</w:t>
            </w:r>
          </w:p>
        </w:tc>
        <w:tc>
          <w:tcPr>
            <w:tcW w:w="709"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10</w:t>
            </w:r>
          </w:p>
        </w:tc>
        <w:tc>
          <w:tcPr>
            <w:tcW w:w="851"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11</w:t>
            </w:r>
          </w:p>
        </w:tc>
        <w:tc>
          <w:tcPr>
            <w:tcW w:w="1275"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12</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13</w:t>
            </w:r>
          </w:p>
        </w:tc>
        <w:tc>
          <w:tcPr>
            <w:tcW w:w="141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14</w:t>
            </w:r>
          </w:p>
        </w:tc>
        <w:tc>
          <w:tcPr>
            <w:tcW w:w="155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15</w:t>
            </w:r>
          </w:p>
        </w:tc>
        <w:tc>
          <w:tcPr>
            <w:tcW w:w="113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bCs/>
                <w:i/>
                <w:color w:val="000000"/>
                <w:sz w:val="20"/>
                <w:szCs w:val="20"/>
              </w:rPr>
            </w:pPr>
            <w:r w:rsidRPr="001659CE">
              <w:rPr>
                <w:rFonts w:ascii="Times New Roman" w:hAnsi="Times New Roman"/>
                <w:bCs/>
                <w:i/>
                <w:color w:val="000000"/>
                <w:sz w:val="20"/>
                <w:szCs w:val="20"/>
              </w:rPr>
              <w:t>16</w:t>
            </w:r>
          </w:p>
        </w:tc>
      </w:tr>
      <w:tr w:rsidR="001659CE" w:rsidRPr="001659CE" w:rsidTr="001659CE">
        <w:trPr>
          <w:trHeight w:val="322"/>
          <w:jc w:val="center"/>
        </w:trPr>
        <w:tc>
          <w:tcPr>
            <w:tcW w:w="578" w:type="dxa"/>
            <w:tcBorders>
              <w:top w:val="nil"/>
              <w:left w:val="single" w:sz="12" w:space="0" w:color="auto"/>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vertAlign w:val="superscript"/>
              </w:rPr>
            </w:pPr>
          </w:p>
        </w:tc>
        <w:tc>
          <w:tcPr>
            <w:tcW w:w="552" w:type="dxa"/>
            <w:tcBorders>
              <w:top w:val="nil"/>
              <w:left w:val="nil"/>
              <w:bottom w:val="single" w:sz="8" w:space="0" w:color="auto"/>
              <w:right w:val="single" w:sz="12" w:space="0" w:color="auto"/>
            </w:tcBorders>
            <w:shd w:val="clear" w:color="auto" w:fill="FFFF00"/>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A</w:t>
            </w:r>
          </w:p>
        </w:tc>
        <w:tc>
          <w:tcPr>
            <w:tcW w:w="61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B</w:t>
            </w:r>
          </w:p>
        </w:tc>
        <w:tc>
          <w:tcPr>
            <w:tcW w:w="1560"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Round(AxB=K;</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70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C</w:t>
            </w:r>
          </w:p>
        </w:tc>
        <w:tc>
          <w:tcPr>
            <w:tcW w:w="709"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D</w:t>
            </w:r>
          </w:p>
        </w:tc>
        <w:tc>
          <w:tcPr>
            <w:tcW w:w="851"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8+9+10</w:t>
            </w:r>
          </w:p>
        </w:tc>
        <w:tc>
          <w:tcPr>
            <w:tcW w:w="1275"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27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Round(KxQ;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41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Round(CxQ;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55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Round(DxQ;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13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bCs/>
                <w:color w:val="000000"/>
                <w:sz w:val="20"/>
                <w:szCs w:val="20"/>
              </w:rPr>
            </w:pPr>
            <w:r w:rsidRPr="001659CE">
              <w:rPr>
                <w:rFonts w:ascii="Times New Roman" w:hAnsi="Times New Roman"/>
                <w:bCs/>
                <w:color w:val="000000"/>
                <w:sz w:val="20"/>
                <w:szCs w:val="20"/>
              </w:rPr>
              <w:t>13+14+15</w:t>
            </w:r>
          </w:p>
        </w:tc>
      </w:tr>
    </w:tbl>
    <w:p w:rsidR="0078348E" w:rsidRDefault="0078348E" w:rsidP="0078348E">
      <w:pPr>
        <w:spacing w:before="60" w:after="60"/>
        <w:rPr>
          <w:rFonts w:ascii="Arial" w:hAnsi="Arial" w:cs="Arial"/>
          <w:b/>
          <w:bCs/>
          <w:sz w:val="20"/>
          <w:szCs w:val="20"/>
        </w:rPr>
      </w:pPr>
    </w:p>
    <w:p w:rsidR="0040258E" w:rsidRPr="00E84F2B" w:rsidRDefault="0040258E" w:rsidP="0078348E">
      <w:pPr>
        <w:spacing w:before="60" w:after="60"/>
        <w:jc w:val="both"/>
        <w:rPr>
          <w:rFonts w:ascii="Times New Roman" w:hAnsi="Times New Roman"/>
          <w:bCs/>
          <w:sz w:val="24"/>
          <w:szCs w:val="20"/>
        </w:rPr>
      </w:pPr>
      <w:r w:rsidRPr="00E84F2B">
        <w:rPr>
          <w:rFonts w:ascii="Times New Roman" w:hAnsi="Times New Roman"/>
          <w:bCs/>
          <w:sz w:val="24"/>
          <w:szCs w:val="20"/>
        </w:rPr>
        <w:t xml:space="preserve">Pretendents nedrīkst dzēst vai koriģēt Iepirkuma komisijas apstiprinātajās </w:t>
      </w:r>
      <w:r w:rsidR="002B0D7C" w:rsidRPr="00E84F2B">
        <w:rPr>
          <w:rFonts w:ascii="Times New Roman" w:hAnsi="Times New Roman"/>
          <w:bCs/>
          <w:sz w:val="24"/>
          <w:szCs w:val="20"/>
        </w:rPr>
        <w:t>t</w:t>
      </w:r>
      <w:r w:rsidRPr="00E84F2B">
        <w:rPr>
          <w:rFonts w:ascii="Times New Roman" w:hAnsi="Times New Roman"/>
          <w:bCs/>
          <w:sz w:val="24"/>
          <w:szCs w:val="20"/>
        </w:rPr>
        <w:t>ām</w:t>
      </w:r>
      <w:r w:rsidR="00932676" w:rsidRPr="00E84F2B">
        <w:rPr>
          <w:rFonts w:ascii="Times New Roman" w:hAnsi="Times New Roman"/>
          <w:bCs/>
          <w:sz w:val="24"/>
          <w:szCs w:val="20"/>
        </w:rPr>
        <w:t>e</w:t>
      </w:r>
      <w:r w:rsidRPr="00E84F2B">
        <w:rPr>
          <w:rFonts w:ascii="Times New Roman" w:hAnsi="Times New Roman"/>
          <w:bCs/>
          <w:sz w:val="24"/>
          <w:szCs w:val="20"/>
        </w:rPr>
        <w:t>s formās ierakstīto.</w:t>
      </w:r>
      <w:r w:rsidR="00250329" w:rsidRPr="00E84F2B">
        <w:rPr>
          <w:rFonts w:ascii="Times New Roman" w:hAnsi="Times New Roman"/>
          <w:bCs/>
          <w:sz w:val="24"/>
          <w:szCs w:val="20"/>
        </w:rPr>
        <w:t xml:space="preserve"> Tāmju elektroniskajai versijai jāsakrīt ar papīra formātā iesniegto versiju, tas ir, </w:t>
      </w:r>
      <w:r w:rsidR="009A5E97" w:rsidRPr="00E84F2B">
        <w:rPr>
          <w:rFonts w:ascii="Times New Roman" w:hAnsi="Times New Roman"/>
          <w:bCs/>
          <w:sz w:val="24"/>
          <w:szCs w:val="20"/>
        </w:rPr>
        <w:t>diviem</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cipariem aiz komata</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kas parādās</w:t>
      </w:r>
      <w:r w:rsidR="00250329" w:rsidRPr="00E84F2B">
        <w:rPr>
          <w:rFonts w:ascii="Times New Roman" w:hAnsi="Times New Roman"/>
          <w:bCs/>
          <w:sz w:val="24"/>
          <w:szCs w:val="20"/>
        </w:rPr>
        <w:t xml:space="preserve"> elektroniskajā versijā, tikpat jāparādās arī pa</w:t>
      </w:r>
      <w:r w:rsidR="009A5E97" w:rsidRPr="00E84F2B">
        <w:rPr>
          <w:rFonts w:ascii="Times New Roman" w:hAnsi="Times New Roman"/>
          <w:bCs/>
          <w:sz w:val="24"/>
          <w:szCs w:val="20"/>
        </w:rPr>
        <w:t>pīra formātā iesniegtajā versijā</w:t>
      </w:r>
      <w:r w:rsidR="00250329" w:rsidRPr="00E84F2B">
        <w:rPr>
          <w:rFonts w:ascii="Times New Roman" w:hAnsi="Times New Roman"/>
          <w:bCs/>
          <w:sz w:val="24"/>
          <w:szCs w:val="20"/>
        </w:rPr>
        <w:t>.</w:t>
      </w:r>
    </w:p>
    <w:p w:rsidR="005109E4" w:rsidRPr="00E84F2B" w:rsidRDefault="00932676" w:rsidP="005109E4">
      <w:pPr>
        <w:spacing w:after="0" w:line="240" w:lineRule="auto"/>
        <w:jc w:val="both"/>
        <w:rPr>
          <w:rFonts w:ascii="Arial" w:hAnsi="Arial" w:cs="Arial"/>
          <w:sz w:val="24"/>
          <w:szCs w:val="20"/>
          <w:lang w:eastAsia="x-none"/>
        </w:rPr>
      </w:pPr>
      <w:r w:rsidRPr="00E84F2B">
        <w:rPr>
          <w:rFonts w:ascii="Times New Roman" w:hAnsi="Times New Roman"/>
          <w:sz w:val="24"/>
          <w:szCs w:val="20"/>
          <w:lang w:eastAsia="x-none"/>
        </w:rPr>
        <w:t>Pretendentam</w:t>
      </w:r>
      <w:r w:rsidR="005109E4" w:rsidRPr="00E84F2B">
        <w:rPr>
          <w:rFonts w:ascii="Times New Roman" w:hAnsi="Times New Roman"/>
          <w:sz w:val="24"/>
          <w:szCs w:val="20"/>
          <w:lang w:eastAsia="x-none"/>
        </w:rPr>
        <w:t xml:space="preserve"> jāpārliecinās par Tāmēs iekļauto apjomu atbilstību </w:t>
      </w:r>
      <w:r w:rsidR="00567CA1" w:rsidRPr="00E84F2B">
        <w:rPr>
          <w:rFonts w:ascii="Times New Roman" w:hAnsi="Times New Roman"/>
          <w:sz w:val="24"/>
          <w:szCs w:val="20"/>
          <w:lang w:eastAsia="x-none"/>
        </w:rPr>
        <w:t>Būvprojektiem</w:t>
      </w:r>
      <w:r w:rsidR="005109E4" w:rsidRPr="00E84F2B">
        <w:rPr>
          <w:rFonts w:ascii="Times New Roman" w:hAnsi="Times New Roman"/>
          <w:sz w:val="24"/>
          <w:szCs w:val="20"/>
          <w:lang w:eastAsia="x-none"/>
        </w:rPr>
        <w:t>.</w:t>
      </w:r>
    </w:p>
    <w:p w:rsidR="00925C6F" w:rsidRPr="00E84F2B" w:rsidRDefault="00925C6F" w:rsidP="005109E4">
      <w:pPr>
        <w:spacing w:after="0" w:line="240" w:lineRule="auto"/>
        <w:jc w:val="both"/>
        <w:rPr>
          <w:rFonts w:ascii="Arial" w:hAnsi="Arial" w:cs="Arial"/>
          <w:sz w:val="24"/>
          <w:szCs w:val="20"/>
          <w:lang w:eastAsia="x-none"/>
        </w:rPr>
      </w:pPr>
    </w:p>
    <w:p w:rsidR="005109E4" w:rsidRPr="00E84F2B" w:rsidRDefault="00925C6F" w:rsidP="0078348E">
      <w:pPr>
        <w:spacing w:before="60" w:after="60"/>
        <w:jc w:val="both"/>
        <w:rPr>
          <w:rFonts w:ascii="Times New Roman" w:hAnsi="Times New Roman"/>
          <w:bCs/>
          <w:sz w:val="24"/>
          <w:szCs w:val="20"/>
        </w:rPr>
      </w:pPr>
      <w:r w:rsidRPr="00E84F2B">
        <w:rPr>
          <w:rFonts w:ascii="Times New Roman" w:hAnsi="Times New Roman"/>
          <w:bCs/>
          <w:sz w:val="24"/>
          <w:szCs w:val="20"/>
        </w:rPr>
        <w:lastRenderedPageBreak/>
        <w:t xml:space="preserve">Ja tiek konstatēta neatbilstība starp </w:t>
      </w:r>
      <w:r w:rsidR="00567CA1" w:rsidRPr="00E84F2B">
        <w:rPr>
          <w:rFonts w:ascii="Times New Roman" w:hAnsi="Times New Roman"/>
          <w:bCs/>
          <w:sz w:val="24"/>
          <w:szCs w:val="20"/>
        </w:rPr>
        <w:t>Būvprojektiem</w:t>
      </w:r>
      <w:r w:rsidRPr="00E84F2B">
        <w:rPr>
          <w:rFonts w:ascii="Times New Roman" w:hAnsi="Times New Roman"/>
          <w:bCs/>
          <w:sz w:val="24"/>
          <w:szCs w:val="20"/>
        </w:rPr>
        <w:t xml:space="preserve">, materiālu specifikāciju vai tāmēm, noteicošais ir </w:t>
      </w:r>
      <w:r w:rsidR="00567CA1" w:rsidRPr="00E84F2B">
        <w:rPr>
          <w:rFonts w:ascii="Times New Roman" w:hAnsi="Times New Roman"/>
          <w:bCs/>
          <w:sz w:val="24"/>
          <w:szCs w:val="20"/>
        </w:rPr>
        <w:t>Būvprojekts</w:t>
      </w:r>
      <w:r w:rsidRPr="00E84F2B">
        <w:rPr>
          <w:rFonts w:ascii="Times New Roman" w:hAnsi="Times New Roman"/>
          <w:bCs/>
          <w:sz w:val="24"/>
          <w:szCs w:val="20"/>
        </w:rPr>
        <w:t xml:space="preserve">. Ja tiek konstatēta neatbilstība starp </w:t>
      </w:r>
      <w:r w:rsidR="009C4D8C" w:rsidRPr="00E84F2B">
        <w:rPr>
          <w:rFonts w:ascii="Times New Roman" w:hAnsi="Times New Roman"/>
          <w:bCs/>
          <w:sz w:val="24"/>
          <w:szCs w:val="20"/>
        </w:rPr>
        <w:t>Būv</w:t>
      </w:r>
      <w:r w:rsidRPr="00E84F2B">
        <w:rPr>
          <w:rFonts w:ascii="Times New Roman" w:hAnsi="Times New Roman"/>
          <w:bCs/>
          <w:sz w:val="24"/>
          <w:szCs w:val="20"/>
        </w:rPr>
        <w:t xml:space="preserve">projekta plāniem un profiliem, noteicošie ir plāni. Par konstatētajām neatbilstībām starp </w:t>
      </w:r>
      <w:r w:rsidR="009C4D8C" w:rsidRPr="00E84F2B">
        <w:rPr>
          <w:rFonts w:ascii="Times New Roman" w:hAnsi="Times New Roman"/>
          <w:bCs/>
          <w:sz w:val="24"/>
          <w:szCs w:val="20"/>
        </w:rPr>
        <w:t>Būvprojektos</w:t>
      </w:r>
      <w:r w:rsidRPr="00E84F2B">
        <w:rPr>
          <w:rFonts w:ascii="Times New Roman" w:hAnsi="Times New Roman"/>
          <w:bCs/>
          <w:sz w:val="24"/>
          <w:szCs w:val="20"/>
        </w:rPr>
        <w:t xml:space="preserve">, materiālu specifikāciju un tāmēs minēto, </w:t>
      </w:r>
      <w:r w:rsidR="002B0D7C" w:rsidRPr="00E84F2B">
        <w:rPr>
          <w:rFonts w:ascii="Times New Roman" w:hAnsi="Times New Roman"/>
          <w:bCs/>
          <w:sz w:val="24"/>
          <w:szCs w:val="20"/>
        </w:rPr>
        <w:t>i</w:t>
      </w:r>
      <w:r w:rsidR="00AB0883" w:rsidRPr="00E84F2B">
        <w:rPr>
          <w:rFonts w:ascii="Times New Roman" w:hAnsi="Times New Roman"/>
          <w:bCs/>
          <w:sz w:val="24"/>
          <w:szCs w:val="20"/>
        </w:rPr>
        <w:t xml:space="preserve">einteresētajam piegādātājam </w:t>
      </w:r>
      <w:r w:rsidRPr="00E84F2B">
        <w:rPr>
          <w:rFonts w:ascii="Times New Roman" w:hAnsi="Times New Roman"/>
          <w:bCs/>
          <w:sz w:val="24"/>
          <w:szCs w:val="20"/>
        </w:rPr>
        <w:t>ne vēlāk kā</w:t>
      </w:r>
      <w:r w:rsidR="00243052">
        <w:rPr>
          <w:rFonts w:ascii="Times New Roman" w:hAnsi="Times New Roman"/>
          <w:bCs/>
          <w:sz w:val="24"/>
          <w:szCs w:val="20"/>
        </w:rPr>
        <w:t xml:space="preserve"> Iepirkuma</w:t>
      </w:r>
      <w:r w:rsidRPr="00E84F2B">
        <w:rPr>
          <w:rFonts w:ascii="Times New Roman" w:hAnsi="Times New Roman"/>
          <w:bCs/>
          <w:sz w:val="24"/>
          <w:szCs w:val="20"/>
        </w:rPr>
        <w:t xml:space="preserve"> nolikuma </w:t>
      </w:r>
      <w:r w:rsidR="00B96594" w:rsidRPr="00E84F2B">
        <w:rPr>
          <w:rFonts w:ascii="Times New Roman" w:hAnsi="Times New Roman"/>
          <w:bCs/>
          <w:sz w:val="24"/>
          <w:szCs w:val="20"/>
        </w:rPr>
        <w:t>4</w:t>
      </w:r>
      <w:r w:rsidRPr="00E84F2B">
        <w:rPr>
          <w:rFonts w:ascii="Times New Roman" w:hAnsi="Times New Roman"/>
          <w:bCs/>
          <w:sz w:val="24"/>
          <w:szCs w:val="20"/>
        </w:rPr>
        <w:t>.</w:t>
      </w:r>
      <w:r w:rsidR="00705E7E" w:rsidRPr="00E84F2B">
        <w:rPr>
          <w:rFonts w:ascii="Times New Roman" w:hAnsi="Times New Roman"/>
          <w:bCs/>
          <w:sz w:val="24"/>
          <w:szCs w:val="20"/>
        </w:rPr>
        <w:t>6</w:t>
      </w:r>
      <w:r w:rsidRPr="00E84F2B">
        <w:rPr>
          <w:rFonts w:ascii="Times New Roman" w:hAnsi="Times New Roman"/>
          <w:bCs/>
          <w:sz w:val="24"/>
          <w:szCs w:val="20"/>
        </w:rPr>
        <w:t>.</w:t>
      </w:r>
      <w:r w:rsidR="004232CC">
        <w:rPr>
          <w:rFonts w:ascii="Times New Roman" w:hAnsi="Times New Roman"/>
          <w:bCs/>
          <w:sz w:val="24"/>
          <w:szCs w:val="20"/>
        </w:rPr>
        <w:t xml:space="preserve"> </w:t>
      </w:r>
      <w:r w:rsidRPr="00E84F2B">
        <w:rPr>
          <w:rFonts w:ascii="Times New Roman" w:hAnsi="Times New Roman"/>
          <w:bCs/>
          <w:sz w:val="24"/>
          <w:szCs w:val="20"/>
        </w:rPr>
        <w:t xml:space="preserve">punktā noteiktajā termiņā jāinformē </w:t>
      </w:r>
      <w:r w:rsidR="00AA4205" w:rsidRPr="00E84F2B">
        <w:rPr>
          <w:rFonts w:ascii="Times New Roman" w:hAnsi="Times New Roman"/>
          <w:bCs/>
          <w:sz w:val="24"/>
          <w:szCs w:val="20"/>
        </w:rPr>
        <w:t>I</w:t>
      </w:r>
      <w:r w:rsidRPr="00E84F2B">
        <w:rPr>
          <w:rFonts w:ascii="Times New Roman" w:hAnsi="Times New Roman"/>
          <w:bCs/>
          <w:sz w:val="24"/>
          <w:szCs w:val="20"/>
        </w:rPr>
        <w:t>epirkuma komisij</w:t>
      </w:r>
      <w:r w:rsidR="00AC5395" w:rsidRPr="00E84F2B">
        <w:rPr>
          <w:rFonts w:ascii="Times New Roman" w:hAnsi="Times New Roman"/>
          <w:bCs/>
          <w:sz w:val="24"/>
          <w:szCs w:val="20"/>
        </w:rPr>
        <w:t>a</w:t>
      </w:r>
      <w:r w:rsidRPr="00E84F2B">
        <w:rPr>
          <w:rFonts w:ascii="Times New Roman" w:hAnsi="Times New Roman"/>
          <w:bCs/>
          <w:sz w:val="24"/>
          <w:szCs w:val="20"/>
        </w:rPr>
        <w:t>.</w:t>
      </w:r>
    </w:p>
    <w:p w:rsidR="00E84F2B" w:rsidRDefault="00E84F2B" w:rsidP="0078348E">
      <w:pPr>
        <w:spacing w:before="60" w:after="60"/>
        <w:jc w:val="both"/>
        <w:rPr>
          <w:rFonts w:ascii="Times New Roman" w:hAnsi="Times New Roman"/>
          <w:b/>
          <w:bCs/>
          <w:sz w:val="24"/>
          <w:szCs w:val="20"/>
        </w:rPr>
      </w:pP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b/>
          <w:bCs/>
          <w:sz w:val="24"/>
          <w:szCs w:val="20"/>
        </w:rPr>
        <w:t>Vienības cena un vispārīgie samaksas nosacījumi</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Vienības cenas ir fiksētas un nav maināmas Līguma izpildes laikā. Papildus darbu vai neparedzētu darbu vērtības noteikšanai, izmantojamas </w:t>
      </w:r>
      <w:r w:rsidR="002B0D7C" w:rsidRPr="00E84F2B">
        <w:rPr>
          <w:rFonts w:ascii="Times New Roman" w:hAnsi="Times New Roman"/>
          <w:sz w:val="24"/>
          <w:szCs w:val="20"/>
        </w:rPr>
        <w:t>tāmēs</w:t>
      </w:r>
      <w:r w:rsidRPr="00E84F2B">
        <w:rPr>
          <w:rFonts w:ascii="Times New Roman" w:hAnsi="Times New Roman"/>
          <w:sz w:val="24"/>
          <w:szCs w:val="20"/>
        </w:rPr>
        <w:t xml:space="preserve"> norādītās līdzvērtīgu darbu vienības izmaksas.</w:t>
      </w:r>
    </w:p>
    <w:p w:rsidR="001A4DA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Tādu izmaksu pozīciju izmaksas, kurām </w:t>
      </w:r>
      <w:r w:rsidR="002B0D7C" w:rsidRPr="00E84F2B">
        <w:rPr>
          <w:rFonts w:ascii="Times New Roman" w:hAnsi="Times New Roman"/>
          <w:sz w:val="24"/>
          <w:szCs w:val="20"/>
        </w:rPr>
        <w:t>tāmēs</w:t>
      </w:r>
      <w:r w:rsidRPr="00E84F2B">
        <w:rPr>
          <w:rFonts w:ascii="Times New Roman" w:hAnsi="Times New Roman"/>
          <w:sz w:val="24"/>
          <w:szCs w:val="20"/>
        </w:rPr>
        <w:t xml:space="preserve"> Pretendents nav norādījis vienības cenu vai summu, ir ietvertas citās izmaksu pozīcijās, kurām ir norādīta vienības cena un summa. </w:t>
      </w: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sz w:val="24"/>
          <w:szCs w:val="20"/>
        </w:rPr>
        <w:t xml:space="preserve">Piedāvājuma cenā, kuru veido izmaksu pozīcijas, jābūt iekļautiem </w:t>
      </w:r>
      <w:r w:rsidRPr="00E84F2B">
        <w:rPr>
          <w:rFonts w:ascii="Times New Roman" w:hAnsi="Times New Roman"/>
          <w:b/>
          <w:bCs/>
          <w:sz w:val="24"/>
          <w:szCs w:val="20"/>
        </w:rPr>
        <w:t>visiem plānotajiem izdevumiem</w:t>
      </w:r>
      <w:r w:rsidRPr="00E84F2B">
        <w:rPr>
          <w:rFonts w:ascii="Times New Roman" w:hAnsi="Times New Roman"/>
          <w:sz w:val="24"/>
          <w:szCs w:val="20"/>
        </w:rPr>
        <w:t xml:space="preserve"> par darbu, pakalpojumiem, materiāliem un iekārtām, kas nepieciešami </w:t>
      </w:r>
      <w:r w:rsidR="002B0D7C" w:rsidRPr="00E84F2B">
        <w:rPr>
          <w:rFonts w:ascii="Times New Roman" w:hAnsi="Times New Roman"/>
          <w:sz w:val="24"/>
          <w:szCs w:val="20"/>
        </w:rPr>
        <w:t>Iepirkuma l</w:t>
      </w:r>
      <w:r w:rsidRPr="00E84F2B">
        <w:rPr>
          <w:rFonts w:ascii="Times New Roman" w:hAnsi="Times New Roman"/>
          <w:sz w:val="24"/>
          <w:szCs w:val="20"/>
        </w:rPr>
        <w:t xml:space="preserve">īguma izpildei pilnā apmērā un atbilstošā kvalitātē </w:t>
      </w:r>
      <w:r w:rsidRPr="00E84F2B">
        <w:rPr>
          <w:rFonts w:ascii="Times New Roman" w:hAnsi="Times New Roman"/>
          <w:b/>
          <w:bCs/>
          <w:sz w:val="24"/>
          <w:szCs w:val="20"/>
        </w:rPr>
        <w:t xml:space="preserve">saskaņā ar Latvijas Republikas normatīvajiem tiesību aktiem, atbildīgo institūciju rīkojumiem, </w:t>
      </w:r>
      <w:r w:rsidR="002B0D7C" w:rsidRPr="00E84F2B">
        <w:rPr>
          <w:rFonts w:ascii="Times New Roman" w:hAnsi="Times New Roman"/>
          <w:b/>
          <w:bCs/>
          <w:sz w:val="24"/>
          <w:szCs w:val="20"/>
        </w:rPr>
        <w:t>Iepirkuma l</w:t>
      </w:r>
      <w:r w:rsidRPr="00E84F2B">
        <w:rPr>
          <w:rFonts w:ascii="Times New Roman" w:hAnsi="Times New Roman"/>
          <w:b/>
          <w:bCs/>
          <w:sz w:val="24"/>
          <w:szCs w:val="20"/>
        </w:rPr>
        <w:t xml:space="preserve">īguma noteikumiem, Tehniskajām specifikācijām, </w:t>
      </w:r>
      <w:r w:rsidR="007E5FEF" w:rsidRPr="00E84F2B">
        <w:rPr>
          <w:rFonts w:ascii="Times New Roman" w:hAnsi="Times New Roman"/>
          <w:b/>
          <w:bCs/>
          <w:sz w:val="24"/>
          <w:szCs w:val="20"/>
        </w:rPr>
        <w:t>Būvp</w:t>
      </w:r>
      <w:r w:rsidRPr="00E84F2B">
        <w:rPr>
          <w:rFonts w:ascii="Times New Roman" w:hAnsi="Times New Roman"/>
          <w:b/>
          <w:bCs/>
          <w:sz w:val="24"/>
          <w:szCs w:val="20"/>
        </w:rPr>
        <w:t>rojekt</w:t>
      </w:r>
      <w:r w:rsidR="00BD6BA7" w:rsidRPr="00E84F2B">
        <w:rPr>
          <w:rFonts w:ascii="Times New Roman" w:hAnsi="Times New Roman"/>
          <w:b/>
          <w:bCs/>
          <w:sz w:val="24"/>
          <w:szCs w:val="20"/>
        </w:rPr>
        <w:t>u</w:t>
      </w:r>
      <w:r w:rsidRPr="00E84F2B">
        <w:rPr>
          <w:rFonts w:ascii="Times New Roman" w:hAnsi="Times New Roman"/>
          <w:b/>
          <w:bCs/>
          <w:sz w:val="24"/>
          <w:szCs w:val="20"/>
        </w:rPr>
        <w:t>.</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Nosakot darbu un materiālu cenas Pretendentam jāņem vērā, ka samaksa ir paredzēta tikai par pilnīgi pabeigtu darbu – tīru darba apjomu, svaru, izmēriem, ekspluatācijai gatavu būvi, neņemot vērā radušos atlikumus, atgriezumus, virsmas liekumus u</w:t>
      </w:r>
      <w:r w:rsidR="00365BDD" w:rsidRPr="00E84F2B">
        <w:rPr>
          <w:rFonts w:ascii="Times New Roman" w:hAnsi="Times New Roman"/>
          <w:sz w:val="24"/>
          <w:szCs w:val="20"/>
        </w:rPr>
        <w:t>.</w:t>
      </w:r>
      <w:r w:rsidRPr="00E84F2B">
        <w:rPr>
          <w:rFonts w:ascii="Times New Roman" w:hAnsi="Times New Roman"/>
          <w:sz w:val="24"/>
          <w:szCs w:val="20"/>
        </w:rPr>
        <w:t>tml.</w:t>
      </w:r>
    </w:p>
    <w:p w:rsidR="0078348E" w:rsidRPr="00E84F2B" w:rsidRDefault="0078348E" w:rsidP="0078348E">
      <w:pPr>
        <w:jc w:val="both"/>
        <w:rPr>
          <w:rFonts w:ascii="Times New Roman" w:hAnsi="Times New Roman"/>
          <w:sz w:val="24"/>
          <w:szCs w:val="20"/>
        </w:rPr>
      </w:pPr>
      <w:r w:rsidRPr="00E84F2B">
        <w:rPr>
          <w:rFonts w:ascii="Times New Roman" w:hAnsi="Times New Roman"/>
          <w:sz w:val="24"/>
          <w:szCs w:val="20"/>
        </w:rPr>
        <w:t xml:space="preserve">Vienības cenās ir jāietver visas tādas tiešas un netiešas izmaksas, kādas saistītas ar </w:t>
      </w:r>
      <w:r w:rsidR="002B0D7C" w:rsidRPr="00E84F2B">
        <w:rPr>
          <w:rFonts w:ascii="Times New Roman" w:hAnsi="Times New Roman"/>
          <w:sz w:val="24"/>
          <w:szCs w:val="20"/>
        </w:rPr>
        <w:t>Iepirkuma l</w:t>
      </w:r>
      <w:r w:rsidRPr="00E84F2B">
        <w:rPr>
          <w:rFonts w:ascii="Times New Roman" w:hAnsi="Times New Roman"/>
          <w:sz w:val="24"/>
          <w:szCs w:val="20"/>
        </w:rPr>
        <w:t xml:space="preserve">īguma noteikumu un Tehniskās specifikācijas prasību ievērošanu, piem.,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būvdarbu vadība, darbinieku algas, nodokļi (izņemot PVN) un nodevas, apdrošināšanas, </w:t>
      </w:r>
      <w:r w:rsidR="00AA4205" w:rsidRPr="00E84F2B">
        <w:rPr>
          <w:rFonts w:ascii="Times New Roman" w:hAnsi="Times New Roman"/>
          <w:sz w:val="24"/>
          <w:szCs w:val="20"/>
        </w:rPr>
        <w:t xml:space="preserve">saistību </w:t>
      </w:r>
      <w:r w:rsidRPr="00E84F2B">
        <w:rPr>
          <w:rFonts w:ascii="Times New Roman" w:hAnsi="Times New Roman"/>
          <w:sz w:val="24"/>
          <w:szCs w:val="20"/>
        </w:rPr>
        <w:t>izpildes nodrošinājums</w:t>
      </w:r>
      <w:r w:rsidR="001117DD" w:rsidRPr="00E84F2B">
        <w:rPr>
          <w:rFonts w:ascii="Times New Roman" w:hAnsi="Times New Roman"/>
          <w:sz w:val="24"/>
          <w:szCs w:val="20"/>
        </w:rPr>
        <w:t xml:space="preserve"> un citas Līgumā noteiktās garantijas</w:t>
      </w:r>
      <w:r w:rsidR="00B8041C" w:rsidRPr="00E84F2B">
        <w:rPr>
          <w:rFonts w:ascii="Times New Roman" w:hAnsi="Times New Roman"/>
          <w:sz w:val="24"/>
          <w:szCs w:val="20"/>
        </w:rPr>
        <w:t xml:space="preserve"> un</w:t>
      </w:r>
      <w:r w:rsidRPr="00E84F2B">
        <w:rPr>
          <w:rFonts w:ascii="Times New Roman" w:hAnsi="Times New Roman"/>
          <w:sz w:val="24"/>
          <w:szCs w:val="20"/>
        </w:rPr>
        <w:t xml:space="preserve"> </w:t>
      </w:r>
      <w:r w:rsidR="00A9360F" w:rsidRPr="00E84F2B">
        <w:rPr>
          <w:rFonts w:ascii="Times New Roman" w:hAnsi="Times New Roman"/>
          <w:sz w:val="24"/>
          <w:szCs w:val="20"/>
        </w:rPr>
        <w:t>būvtāfeles</w:t>
      </w:r>
      <w:r w:rsidR="002B0D7C" w:rsidRPr="00E84F2B">
        <w:rPr>
          <w:rFonts w:ascii="Times New Roman" w:hAnsi="Times New Roman"/>
          <w:sz w:val="24"/>
          <w:szCs w:val="20"/>
        </w:rPr>
        <w:t>.</w:t>
      </w:r>
    </w:p>
    <w:p w:rsidR="00BF325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Samaksa par padarīto darbu tiks veikta pēc faktiski padarītā, uzmērītā un izpilddokumentācijā fiksētā apjoma, nevis pēc </w:t>
      </w:r>
      <w:r w:rsidR="002B0D7C" w:rsidRPr="00E84F2B">
        <w:rPr>
          <w:rFonts w:ascii="Times New Roman" w:hAnsi="Times New Roman"/>
          <w:sz w:val="24"/>
          <w:szCs w:val="20"/>
        </w:rPr>
        <w:t>tāmēs</w:t>
      </w:r>
      <w:r w:rsidRPr="00E84F2B">
        <w:rPr>
          <w:rFonts w:ascii="Times New Roman" w:hAnsi="Times New Roman"/>
          <w:sz w:val="24"/>
          <w:szCs w:val="20"/>
        </w:rPr>
        <w:t xml:space="preserve"> noteiktā daudzuma. </w:t>
      </w:r>
    </w:p>
    <w:p w:rsidR="0078348E" w:rsidRPr="00E84F2B" w:rsidRDefault="007B7310" w:rsidP="0078348E">
      <w:pPr>
        <w:spacing w:before="60" w:after="60"/>
        <w:jc w:val="both"/>
        <w:rPr>
          <w:rFonts w:ascii="Times New Roman" w:hAnsi="Times New Roman"/>
          <w:sz w:val="24"/>
          <w:szCs w:val="20"/>
        </w:rPr>
      </w:pPr>
      <w:r w:rsidRPr="00E84F2B">
        <w:rPr>
          <w:rFonts w:ascii="Times New Roman" w:hAnsi="Times New Roman"/>
          <w:b/>
          <w:bCs/>
          <w:sz w:val="24"/>
          <w:szCs w:val="20"/>
        </w:rPr>
        <w:t>Darbu izmaiņas un n</w:t>
      </w:r>
      <w:r w:rsidR="0078348E" w:rsidRPr="00E84F2B">
        <w:rPr>
          <w:rFonts w:ascii="Times New Roman" w:hAnsi="Times New Roman"/>
          <w:b/>
          <w:bCs/>
          <w:sz w:val="24"/>
          <w:szCs w:val="20"/>
        </w:rPr>
        <w:t>eparedzētie izdevumi</w:t>
      </w:r>
    </w:p>
    <w:p w:rsidR="0030425D" w:rsidRPr="003939F0" w:rsidRDefault="00B23FA2" w:rsidP="003939F0">
      <w:pPr>
        <w:spacing w:before="60" w:after="60"/>
        <w:jc w:val="both"/>
        <w:rPr>
          <w:rFonts w:ascii="Times New Roman" w:hAnsi="Times New Roman"/>
          <w:sz w:val="24"/>
          <w:szCs w:val="20"/>
        </w:rPr>
      </w:pPr>
      <w:r w:rsidRPr="00E84F2B">
        <w:rPr>
          <w:rFonts w:ascii="Times New Roman" w:hAnsi="Times New Roman"/>
          <w:sz w:val="24"/>
          <w:szCs w:val="20"/>
        </w:rPr>
        <w:t xml:space="preserve">Ja </w:t>
      </w:r>
      <w:r w:rsidR="002B0D7C" w:rsidRPr="00E84F2B">
        <w:rPr>
          <w:rFonts w:ascii="Times New Roman" w:hAnsi="Times New Roman"/>
          <w:sz w:val="24"/>
          <w:szCs w:val="20"/>
        </w:rPr>
        <w:t>Iepirkuma l</w:t>
      </w:r>
      <w:r w:rsidRPr="00E84F2B">
        <w:rPr>
          <w:rFonts w:ascii="Times New Roman" w:hAnsi="Times New Roman"/>
          <w:sz w:val="24"/>
          <w:szCs w:val="20"/>
        </w:rPr>
        <w:t xml:space="preserve">īgumā tiek </w:t>
      </w:r>
      <w:r w:rsidR="002B0D7C" w:rsidRPr="00E84F2B">
        <w:rPr>
          <w:rFonts w:ascii="Times New Roman" w:hAnsi="Times New Roman"/>
          <w:sz w:val="24"/>
          <w:szCs w:val="20"/>
        </w:rPr>
        <w:t>paredzētas</w:t>
      </w:r>
      <w:r w:rsidRPr="00E84F2B">
        <w:rPr>
          <w:rFonts w:ascii="Times New Roman" w:hAnsi="Times New Roman"/>
          <w:sz w:val="24"/>
          <w:szCs w:val="20"/>
        </w:rPr>
        <w:t xml:space="preserve"> darbu izmaiņas</w:t>
      </w:r>
      <w:r w:rsidR="00356A15" w:rsidRPr="00E84F2B">
        <w:rPr>
          <w:rFonts w:ascii="Times New Roman" w:hAnsi="Times New Roman"/>
          <w:sz w:val="24"/>
          <w:szCs w:val="20"/>
        </w:rPr>
        <w:t>,</w:t>
      </w:r>
      <w:r w:rsidRPr="00E84F2B">
        <w:rPr>
          <w:rFonts w:ascii="Times New Roman" w:hAnsi="Times New Roman"/>
          <w:sz w:val="24"/>
          <w:szCs w:val="20"/>
        </w:rPr>
        <w:t xml:space="preserve"> jāievēro </w:t>
      </w:r>
      <w:r w:rsidR="002B0D7C" w:rsidRPr="00E84F2B">
        <w:rPr>
          <w:rFonts w:ascii="Times New Roman" w:hAnsi="Times New Roman"/>
          <w:sz w:val="24"/>
          <w:szCs w:val="20"/>
        </w:rPr>
        <w:t>Iepirkuma l</w:t>
      </w:r>
      <w:r w:rsidRPr="00E84F2B">
        <w:rPr>
          <w:rFonts w:ascii="Times New Roman" w:hAnsi="Times New Roman"/>
          <w:sz w:val="24"/>
          <w:szCs w:val="20"/>
        </w:rPr>
        <w:t>īgumā noteiktā kārtība</w:t>
      </w:r>
      <w:r w:rsidR="0078348E" w:rsidRPr="00E84F2B">
        <w:rPr>
          <w:rFonts w:ascii="Times New Roman" w:hAnsi="Times New Roman"/>
          <w:sz w:val="24"/>
          <w:szCs w:val="20"/>
        </w:rPr>
        <w:t xml:space="preserve">, ievērojot </w:t>
      </w:r>
      <w:r w:rsidR="008569B8" w:rsidRPr="00E84F2B">
        <w:rPr>
          <w:rFonts w:ascii="Times New Roman" w:hAnsi="Times New Roman"/>
          <w:sz w:val="24"/>
          <w:szCs w:val="20"/>
        </w:rPr>
        <w:t xml:space="preserve">Sabiedrisko pakalpojumu sniedzēju iepirkumu </w:t>
      </w:r>
      <w:r w:rsidR="0078348E" w:rsidRPr="00E84F2B">
        <w:rPr>
          <w:rFonts w:ascii="Times New Roman" w:hAnsi="Times New Roman"/>
          <w:sz w:val="24"/>
          <w:szCs w:val="20"/>
        </w:rPr>
        <w:t>reglamentējošo normatīvo tiesību aktu normas.</w:t>
      </w:r>
    </w:p>
    <w:sectPr w:rsidR="0030425D" w:rsidRPr="003939F0" w:rsidSect="00E73EED">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95" w:rsidRDefault="00023295" w:rsidP="00780EC8">
      <w:pPr>
        <w:spacing w:after="0" w:line="240" w:lineRule="auto"/>
      </w:pPr>
      <w:r>
        <w:separator/>
      </w:r>
    </w:p>
  </w:endnote>
  <w:endnote w:type="continuationSeparator" w:id="0">
    <w:p w:rsidR="00023295" w:rsidRDefault="00023295" w:rsidP="007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22" w:rsidRDefault="00FD5F22">
    <w:pPr>
      <w:pStyle w:val="Kjene"/>
      <w:jc w:val="right"/>
    </w:pPr>
    <w:r>
      <w:fldChar w:fldCharType="begin"/>
    </w:r>
    <w:r>
      <w:instrText xml:space="preserve"> PAGE   \* MERGEFORMAT </w:instrText>
    </w:r>
    <w:r>
      <w:fldChar w:fldCharType="separate"/>
    </w:r>
    <w:r w:rsidR="0018361A">
      <w:rPr>
        <w:noProof/>
      </w:rPr>
      <w:t>2</w:t>
    </w:r>
    <w:r>
      <w:rPr>
        <w:noProof/>
      </w:rPr>
      <w:fldChar w:fldCharType="end"/>
    </w:r>
  </w:p>
  <w:p w:rsidR="00FD5F22" w:rsidRDefault="00FD5F2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95" w:rsidRDefault="00023295" w:rsidP="00780EC8">
      <w:pPr>
        <w:spacing w:after="0" w:line="240" w:lineRule="auto"/>
      </w:pPr>
      <w:r>
        <w:separator/>
      </w:r>
    </w:p>
  </w:footnote>
  <w:footnote w:type="continuationSeparator" w:id="0">
    <w:p w:rsidR="00023295" w:rsidRDefault="00023295" w:rsidP="00780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7C7C"/>
    <w:multiLevelType w:val="multilevel"/>
    <w:tmpl w:val="4DE0F528"/>
    <w:lvl w:ilvl="0">
      <w:start w:val="1"/>
      <w:numFmt w:val="decimal"/>
      <w:lvlText w:val="%1."/>
      <w:lvlJc w:val="left"/>
      <w:pPr>
        <w:tabs>
          <w:tab w:val="num" w:pos="360"/>
        </w:tabs>
        <w:ind w:left="360" w:hanging="360"/>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84"/>
        </w:tabs>
        <w:ind w:left="984" w:hanging="624"/>
      </w:pPr>
      <w:rPr>
        <w:rFonts w:ascii="Arial" w:hAnsi="Arial"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A8"/>
    <w:rsid w:val="00023295"/>
    <w:rsid w:val="0004091E"/>
    <w:rsid w:val="00040FA8"/>
    <w:rsid w:val="00091BDF"/>
    <w:rsid w:val="000A4488"/>
    <w:rsid w:val="000B234C"/>
    <w:rsid w:val="000D1F5C"/>
    <w:rsid w:val="000E17A4"/>
    <w:rsid w:val="000E6021"/>
    <w:rsid w:val="001117DD"/>
    <w:rsid w:val="001126E8"/>
    <w:rsid w:val="001659CE"/>
    <w:rsid w:val="001826EC"/>
    <w:rsid w:val="0018361A"/>
    <w:rsid w:val="0019650E"/>
    <w:rsid w:val="00196636"/>
    <w:rsid w:val="001A4DA7"/>
    <w:rsid w:val="001F7299"/>
    <w:rsid w:val="002014E7"/>
    <w:rsid w:val="002143A6"/>
    <w:rsid w:val="0023417E"/>
    <w:rsid w:val="00243052"/>
    <w:rsid w:val="00250329"/>
    <w:rsid w:val="00281ED6"/>
    <w:rsid w:val="0028756C"/>
    <w:rsid w:val="00291676"/>
    <w:rsid w:val="002A059B"/>
    <w:rsid w:val="002B0D7C"/>
    <w:rsid w:val="002B2242"/>
    <w:rsid w:val="002C4C4A"/>
    <w:rsid w:val="002D26A2"/>
    <w:rsid w:val="003002C1"/>
    <w:rsid w:val="00301271"/>
    <w:rsid w:val="0030425D"/>
    <w:rsid w:val="003108F3"/>
    <w:rsid w:val="00342B92"/>
    <w:rsid w:val="00355E1C"/>
    <w:rsid w:val="00356A15"/>
    <w:rsid w:val="00365BDD"/>
    <w:rsid w:val="00373426"/>
    <w:rsid w:val="003805B3"/>
    <w:rsid w:val="003939F0"/>
    <w:rsid w:val="003A7BE3"/>
    <w:rsid w:val="003B6C58"/>
    <w:rsid w:val="0040258E"/>
    <w:rsid w:val="004232CC"/>
    <w:rsid w:val="004416C5"/>
    <w:rsid w:val="00442EF4"/>
    <w:rsid w:val="00463AEA"/>
    <w:rsid w:val="004B1DEB"/>
    <w:rsid w:val="004B7F3F"/>
    <w:rsid w:val="005109E4"/>
    <w:rsid w:val="005117B4"/>
    <w:rsid w:val="005435C5"/>
    <w:rsid w:val="00550450"/>
    <w:rsid w:val="00567CA1"/>
    <w:rsid w:val="00573093"/>
    <w:rsid w:val="0057627A"/>
    <w:rsid w:val="005A0A3E"/>
    <w:rsid w:val="005C1C77"/>
    <w:rsid w:val="005C6EB9"/>
    <w:rsid w:val="005D5300"/>
    <w:rsid w:val="005F17BB"/>
    <w:rsid w:val="005F637E"/>
    <w:rsid w:val="0060001F"/>
    <w:rsid w:val="00612F80"/>
    <w:rsid w:val="006151A0"/>
    <w:rsid w:val="006617D2"/>
    <w:rsid w:val="006A1DA4"/>
    <w:rsid w:val="006B2B3E"/>
    <w:rsid w:val="006B3231"/>
    <w:rsid w:val="006C4DFD"/>
    <w:rsid w:val="006F386E"/>
    <w:rsid w:val="00702DB0"/>
    <w:rsid w:val="00705E7E"/>
    <w:rsid w:val="0071114A"/>
    <w:rsid w:val="0071201E"/>
    <w:rsid w:val="00756BD7"/>
    <w:rsid w:val="007634C6"/>
    <w:rsid w:val="00772F29"/>
    <w:rsid w:val="00780EC8"/>
    <w:rsid w:val="0078348E"/>
    <w:rsid w:val="007858EB"/>
    <w:rsid w:val="00794551"/>
    <w:rsid w:val="00795625"/>
    <w:rsid w:val="007A0347"/>
    <w:rsid w:val="007B0125"/>
    <w:rsid w:val="007B7310"/>
    <w:rsid w:val="007C4C24"/>
    <w:rsid w:val="007C5542"/>
    <w:rsid w:val="007C6C7E"/>
    <w:rsid w:val="007D30DA"/>
    <w:rsid w:val="007E5FEF"/>
    <w:rsid w:val="007F5EF5"/>
    <w:rsid w:val="008146C5"/>
    <w:rsid w:val="00837EF4"/>
    <w:rsid w:val="008569B8"/>
    <w:rsid w:val="00864DFD"/>
    <w:rsid w:val="0087716A"/>
    <w:rsid w:val="00894D9C"/>
    <w:rsid w:val="00895517"/>
    <w:rsid w:val="008978AE"/>
    <w:rsid w:val="008A58C7"/>
    <w:rsid w:val="008D6D6C"/>
    <w:rsid w:val="008F127A"/>
    <w:rsid w:val="00901D90"/>
    <w:rsid w:val="009147C5"/>
    <w:rsid w:val="0092112D"/>
    <w:rsid w:val="00925C6F"/>
    <w:rsid w:val="009265FF"/>
    <w:rsid w:val="00932676"/>
    <w:rsid w:val="0094003A"/>
    <w:rsid w:val="009406AA"/>
    <w:rsid w:val="009A43DF"/>
    <w:rsid w:val="009A5E97"/>
    <w:rsid w:val="009A7DE5"/>
    <w:rsid w:val="009C4D8C"/>
    <w:rsid w:val="009D73C8"/>
    <w:rsid w:val="009E4E63"/>
    <w:rsid w:val="009F2D20"/>
    <w:rsid w:val="00A0151B"/>
    <w:rsid w:val="00A02D4E"/>
    <w:rsid w:val="00A834E3"/>
    <w:rsid w:val="00A8371E"/>
    <w:rsid w:val="00A9360F"/>
    <w:rsid w:val="00AA2C10"/>
    <w:rsid w:val="00AA4205"/>
    <w:rsid w:val="00AB0883"/>
    <w:rsid w:val="00AC3A0D"/>
    <w:rsid w:val="00AC5395"/>
    <w:rsid w:val="00AC6A7B"/>
    <w:rsid w:val="00AE2D2E"/>
    <w:rsid w:val="00AF19DA"/>
    <w:rsid w:val="00B23FA2"/>
    <w:rsid w:val="00B31B89"/>
    <w:rsid w:val="00B35619"/>
    <w:rsid w:val="00B4027B"/>
    <w:rsid w:val="00B42CD4"/>
    <w:rsid w:val="00B53C0F"/>
    <w:rsid w:val="00B73D2B"/>
    <w:rsid w:val="00B77EC7"/>
    <w:rsid w:val="00B8041C"/>
    <w:rsid w:val="00B82A24"/>
    <w:rsid w:val="00B87138"/>
    <w:rsid w:val="00B96594"/>
    <w:rsid w:val="00BB69D0"/>
    <w:rsid w:val="00BD6BA7"/>
    <w:rsid w:val="00BE2C88"/>
    <w:rsid w:val="00BE47EB"/>
    <w:rsid w:val="00BF3257"/>
    <w:rsid w:val="00C14FBE"/>
    <w:rsid w:val="00C34FF9"/>
    <w:rsid w:val="00C37F29"/>
    <w:rsid w:val="00CC0A80"/>
    <w:rsid w:val="00CD2E97"/>
    <w:rsid w:val="00D01BDE"/>
    <w:rsid w:val="00D0587C"/>
    <w:rsid w:val="00D57460"/>
    <w:rsid w:val="00D6015A"/>
    <w:rsid w:val="00DA3E74"/>
    <w:rsid w:val="00DB04CC"/>
    <w:rsid w:val="00DD356E"/>
    <w:rsid w:val="00DF5444"/>
    <w:rsid w:val="00E075BB"/>
    <w:rsid w:val="00E507FF"/>
    <w:rsid w:val="00E73EED"/>
    <w:rsid w:val="00E84F2B"/>
    <w:rsid w:val="00E97FCE"/>
    <w:rsid w:val="00EB39AE"/>
    <w:rsid w:val="00EC05FD"/>
    <w:rsid w:val="00EC4F9E"/>
    <w:rsid w:val="00EF4D70"/>
    <w:rsid w:val="00F124D9"/>
    <w:rsid w:val="00F2178F"/>
    <w:rsid w:val="00F3431F"/>
    <w:rsid w:val="00F603A4"/>
    <w:rsid w:val="00F836A2"/>
    <w:rsid w:val="00FD0FFD"/>
    <w:rsid w:val="00FD5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425D"/>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AArial10ptLeft0cm">
    <w:name w:val="Style A + Arial 10 pt Left:  0 cm"/>
    <w:basedOn w:val="Parasts"/>
    <w:rsid w:val="006F386E"/>
    <w:pPr>
      <w:spacing w:after="120" w:line="280" w:lineRule="atLeast"/>
    </w:pPr>
    <w:rPr>
      <w:rFonts w:ascii="Arial" w:hAnsi="Arial" w:cs="Arial"/>
      <w:sz w:val="20"/>
      <w:szCs w:val="20"/>
      <w:lang w:eastAsia="lv-LV"/>
    </w:rPr>
  </w:style>
  <w:style w:type="paragraph" w:styleId="Balonteksts">
    <w:name w:val="Balloon Text"/>
    <w:basedOn w:val="Parasts"/>
    <w:semiHidden/>
    <w:rsid w:val="00901D90"/>
    <w:rPr>
      <w:rFonts w:ascii="Tahoma" w:hAnsi="Tahoma" w:cs="Tahoma"/>
      <w:sz w:val="16"/>
      <w:szCs w:val="16"/>
    </w:rPr>
  </w:style>
  <w:style w:type="character" w:styleId="Komentraatsauce">
    <w:name w:val="annotation reference"/>
    <w:uiPriority w:val="99"/>
    <w:semiHidden/>
    <w:unhideWhenUsed/>
    <w:rsid w:val="00925C6F"/>
    <w:rPr>
      <w:sz w:val="16"/>
      <w:szCs w:val="16"/>
    </w:rPr>
  </w:style>
  <w:style w:type="paragraph" w:styleId="Komentrateksts">
    <w:name w:val="annotation text"/>
    <w:basedOn w:val="Parasts"/>
    <w:link w:val="KomentratekstsRakstz"/>
    <w:uiPriority w:val="99"/>
    <w:semiHidden/>
    <w:unhideWhenUsed/>
    <w:rsid w:val="00925C6F"/>
    <w:rPr>
      <w:sz w:val="20"/>
      <w:szCs w:val="20"/>
    </w:rPr>
  </w:style>
  <w:style w:type="character" w:customStyle="1" w:styleId="KomentratekstsRakstz">
    <w:name w:val="Komentāra teksts Rakstz."/>
    <w:link w:val="Komentrateksts"/>
    <w:uiPriority w:val="99"/>
    <w:semiHidden/>
    <w:rsid w:val="00925C6F"/>
    <w:rPr>
      <w:lang w:eastAsia="en-US"/>
    </w:rPr>
  </w:style>
  <w:style w:type="paragraph" w:styleId="Komentratma">
    <w:name w:val="annotation subject"/>
    <w:basedOn w:val="Komentrateksts"/>
    <w:next w:val="Komentrateksts"/>
    <w:link w:val="KomentratmaRakstz"/>
    <w:uiPriority w:val="99"/>
    <w:semiHidden/>
    <w:unhideWhenUsed/>
    <w:rsid w:val="00925C6F"/>
    <w:rPr>
      <w:b/>
      <w:bCs/>
    </w:rPr>
  </w:style>
  <w:style w:type="character" w:customStyle="1" w:styleId="KomentratmaRakstz">
    <w:name w:val="Komentāra tēma Rakstz."/>
    <w:link w:val="Komentratma"/>
    <w:uiPriority w:val="99"/>
    <w:semiHidden/>
    <w:rsid w:val="00925C6F"/>
    <w:rPr>
      <w:b/>
      <w:bCs/>
      <w:lang w:eastAsia="en-US"/>
    </w:rPr>
  </w:style>
  <w:style w:type="paragraph" w:styleId="Vresteksts">
    <w:name w:val="footnote text"/>
    <w:basedOn w:val="Parasts"/>
    <w:link w:val="VrestekstsRakstz"/>
    <w:uiPriority w:val="99"/>
    <w:semiHidden/>
    <w:unhideWhenUsed/>
    <w:rsid w:val="00780EC8"/>
    <w:rPr>
      <w:sz w:val="20"/>
      <w:szCs w:val="20"/>
    </w:rPr>
  </w:style>
  <w:style w:type="character" w:customStyle="1" w:styleId="VrestekstsRakstz">
    <w:name w:val="Vēres teksts Rakstz."/>
    <w:link w:val="Vresteksts"/>
    <w:uiPriority w:val="99"/>
    <w:semiHidden/>
    <w:rsid w:val="00780EC8"/>
    <w:rPr>
      <w:lang w:eastAsia="en-US"/>
    </w:rPr>
  </w:style>
  <w:style w:type="character" w:styleId="Vresatsauce">
    <w:name w:val="footnote reference"/>
    <w:uiPriority w:val="99"/>
    <w:semiHidden/>
    <w:unhideWhenUsed/>
    <w:rsid w:val="00780EC8"/>
    <w:rPr>
      <w:vertAlign w:val="superscript"/>
    </w:rPr>
  </w:style>
  <w:style w:type="character" w:customStyle="1" w:styleId="apple-converted-space">
    <w:name w:val="apple-converted-space"/>
    <w:rsid w:val="003805B3"/>
  </w:style>
  <w:style w:type="character" w:styleId="Hipersaite">
    <w:name w:val="Hyperlink"/>
    <w:uiPriority w:val="99"/>
    <w:unhideWhenUsed/>
    <w:rsid w:val="009406AA"/>
    <w:rPr>
      <w:color w:val="0000FF"/>
      <w:u w:val="single"/>
    </w:rPr>
  </w:style>
  <w:style w:type="paragraph" w:styleId="Galvene">
    <w:name w:val="header"/>
    <w:basedOn w:val="Parasts"/>
    <w:link w:val="GalveneRakstz"/>
    <w:uiPriority w:val="99"/>
    <w:unhideWhenUsed/>
    <w:rsid w:val="00FD5F22"/>
    <w:pPr>
      <w:tabs>
        <w:tab w:val="center" w:pos="4153"/>
        <w:tab w:val="right" w:pos="8306"/>
      </w:tabs>
    </w:pPr>
  </w:style>
  <w:style w:type="character" w:customStyle="1" w:styleId="GalveneRakstz">
    <w:name w:val="Galvene Rakstz."/>
    <w:link w:val="Galvene"/>
    <w:uiPriority w:val="99"/>
    <w:rsid w:val="00FD5F22"/>
    <w:rPr>
      <w:sz w:val="22"/>
      <w:szCs w:val="22"/>
      <w:lang w:eastAsia="en-US"/>
    </w:rPr>
  </w:style>
  <w:style w:type="paragraph" w:styleId="Kjene">
    <w:name w:val="footer"/>
    <w:basedOn w:val="Parasts"/>
    <w:link w:val="KjeneRakstz"/>
    <w:uiPriority w:val="99"/>
    <w:unhideWhenUsed/>
    <w:rsid w:val="00FD5F22"/>
    <w:pPr>
      <w:tabs>
        <w:tab w:val="center" w:pos="4153"/>
        <w:tab w:val="right" w:pos="8306"/>
      </w:tabs>
    </w:pPr>
  </w:style>
  <w:style w:type="character" w:customStyle="1" w:styleId="KjeneRakstz">
    <w:name w:val="Kājene Rakstz."/>
    <w:link w:val="Kjene"/>
    <w:uiPriority w:val="99"/>
    <w:rsid w:val="00FD5F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425D"/>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AArial10ptLeft0cm">
    <w:name w:val="Style A + Arial 10 pt Left:  0 cm"/>
    <w:basedOn w:val="Parasts"/>
    <w:rsid w:val="006F386E"/>
    <w:pPr>
      <w:spacing w:after="120" w:line="280" w:lineRule="atLeast"/>
    </w:pPr>
    <w:rPr>
      <w:rFonts w:ascii="Arial" w:hAnsi="Arial" w:cs="Arial"/>
      <w:sz w:val="20"/>
      <w:szCs w:val="20"/>
      <w:lang w:eastAsia="lv-LV"/>
    </w:rPr>
  </w:style>
  <w:style w:type="paragraph" w:styleId="Balonteksts">
    <w:name w:val="Balloon Text"/>
    <w:basedOn w:val="Parasts"/>
    <w:semiHidden/>
    <w:rsid w:val="00901D90"/>
    <w:rPr>
      <w:rFonts w:ascii="Tahoma" w:hAnsi="Tahoma" w:cs="Tahoma"/>
      <w:sz w:val="16"/>
      <w:szCs w:val="16"/>
    </w:rPr>
  </w:style>
  <w:style w:type="character" w:styleId="Komentraatsauce">
    <w:name w:val="annotation reference"/>
    <w:uiPriority w:val="99"/>
    <w:semiHidden/>
    <w:unhideWhenUsed/>
    <w:rsid w:val="00925C6F"/>
    <w:rPr>
      <w:sz w:val="16"/>
      <w:szCs w:val="16"/>
    </w:rPr>
  </w:style>
  <w:style w:type="paragraph" w:styleId="Komentrateksts">
    <w:name w:val="annotation text"/>
    <w:basedOn w:val="Parasts"/>
    <w:link w:val="KomentratekstsRakstz"/>
    <w:uiPriority w:val="99"/>
    <w:semiHidden/>
    <w:unhideWhenUsed/>
    <w:rsid w:val="00925C6F"/>
    <w:rPr>
      <w:sz w:val="20"/>
      <w:szCs w:val="20"/>
    </w:rPr>
  </w:style>
  <w:style w:type="character" w:customStyle="1" w:styleId="KomentratekstsRakstz">
    <w:name w:val="Komentāra teksts Rakstz."/>
    <w:link w:val="Komentrateksts"/>
    <w:uiPriority w:val="99"/>
    <w:semiHidden/>
    <w:rsid w:val="00925C6F"/>
    <w:rPr>
      <w:lang w:eastAsia="en-US"/>
    </w:rPr>
  </w:style>
  <w:style w:type="paragraph" w:styleId="Komentratma">
    <w:name w:val="annotation subject"/>
    <w:basedOn w:val="Komentrateksts"/>
    <w:next w:val="Komentrateksts"/>
    <w:link w:val="KomentratmaRakstz"/>
    <w:uiPriority w:val="99"/>
    <w:semiHidden/>
    <w:unhideWhenUsed/>
    <w:rsid w:val="00925C6F"/>
    <w:rPr>
      <w:b/>
      <w:bCs/>
    </w:rPr>
  </w:style>
  <w:style w:type="character" w:customStyle="1" w:styleId="KomentratmaRakstz">
    <w:name w:val="Komentāra tēma Rakstz."/>
    <w:link w:val="Komentratma"/>
    <w:uiPriority w:val="99"/>
    <w:semiHidden/>
    <w:rsid w:val="00925C6F"/>
    <w:rPr>
      <w:b/>
      <w:bCs/>
      <w:lang w:eastAsia="en-US"/>
    </w:rPr>
  </w:style>
  <w:style w:type="paragraph" w:styleId="Vresteksts">
    <w:name w:val="footnote text"/>
    <w:basedOn w:val="Parasts"/>
    <w:link w:val="VrestekstsRakstz"/>
    <w:uiPriority w:val="99"/>
    <w:semiHidden/>
    <w:unhideWhenUsed/>
    <w:rsid w:val="00780EC8"/>
    <w:rPr>
      <w:sz w:val="20"/>
      <w:szCs w:val="20"/>
    </w:rPr>
  </w:style>
  <w:style w:type="character" w:customStyle="1" w:styleId="VrestekstsRakstz">
    <w:name w:val="Vēres teksts Rakstz."/>
    <w:link w:val="Vresteksts"/>
    <w:uiPriority w:val="99"/>
    <w:semiHidden/>
    <w:rsid w:val="00780EC8"/>
    <w:rPr>
      <w:lang w:eastAsia="en-US"/>
    </w:rPr>
  </w:style>
  <w:style w:type="character" w:styleId="Vresatsauce">
    <w:name w:val="footnote reference"/>
    <w:uiPriority w:val="99"/>
    <w:semiHidden/>
    <w:unhideWhenUsed/>
    <w:rsid w:val="00780EC8"/>
    <w:rPr>
      <w:vertAlign w:val="superscript"/>
    </w:rPr>
  </w:style>
  <w:style w:type="character" w:customStyle="1" w:styleId="apple-converted-space">
    <w:name w:val="apple-converted-space"/>
    <w:rsid w:val="003805B3"/>
  </w:style>
  <w:style w:type="character" w:styleId="Hipersaite">
    <w:name w:val="Hyperlink"/>
    <w:uiPriority w:val="99"/>
    <w:unhideWhenUsed/>
    <w:rsid w:val="009406AA"/>
    <w:rPr>
      <w:color w:val="0000FF"/>
      <w:u w:val="single"/>
    </w:rPr>
  </w:style>
  <w:style w:type="paragraph" w:styleId="Galvene">
    <w:name w:val="header"/>
    <w:basedOn w:val="Parasts"/>
    <w:link w:val="GalveneRakstz"/>
    <w:uiPriority w:val="99"/>
    <w:unhideWhenUsed/>
    <w:rsid w:val="00FD5F22"/>
    <w:pPr>
      <w:tabs>
        <w:tab w:val="center" w:pos="4153"/>
        <w:tab w:val="right" w:pos="8306"/>
      </w:tabs>
    </w:pPr>
  </w:style>
  <w:style w:type="character" w:customStyle="1" w:styleId="GalveneRakstz">
    <w:name w:val="Galvene Rakstz."/>
    <w:link w:val="Galvene"/>
    <w:uiPriority w:val="99"/>
    <w:rsid w:val="00FD5F22"/>
    <w:rPr>
      <w:sz w:val="22"/>
      <w:szCs w:val="22"/>
      <w:lang w:eastAsia="en-US"/>
    </w:rPr>
  </w:style>
  <w:style w:type="paragraph" w:styleId="Kjene">
    <w:name w:val="footer"/>
    <w:basedOn w:val="Parasts"/>
    <w:link w:val="KjeneRakstz"/>
    <w:uiPriority w:val="99"/>
    <w:unhideWhenUsed/>
    <w:rsid w:val="00FD5F22"/>
    <w:pPr>
      <w:tabs>
        <w:tab w:val="center" w:pos="4153"/>
        <w:tab w:val="right" w:pos="8306"/>
      </w:tabs>
    </w:pPr>
  </w:style>
  <w:style w:type="character" w:customStyle="1" w:styleId="KjeneRakstz">
    <w:name w:val="Kājene Rakstz."/>
    <w:link w:val="Kjene"/>
    <w:uiPriority w:val="99"/>
    <w:rsid w:val="00FD5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7803">
      <w:bodyDiv w:val="1"/>
      <w:marLeft w:val="0"/>
      <w:marRight w:val="0"/>
      <w:marTop w:val="0"/>
      <w:marBottom w:val="0"/>
      <w:divBdr>
        <w:top w:val="none" w:sz="0" w:space="0" w:color="auto"/>
        <w:left w:val="none" w:sz="0" w:space="0" w:color="auto"/>
        <w:bottom w:val="none" w:sz="0" w:space="0" w:color="auto"/>
        <w:right w:val="none" w:sz="0" w:space="0" w:color="auto"/>
      </w:divBdr>
    </w:div>
    <w:div w:id="641617618">
      <w:bodyDiv w:val="1"/>
      <w:marLeft w:val="0"/>
      <w:marRight w:val="0"/>
      <w:marTop w:val="0"/>
      <w:marBottom w:val="0"/>
      <w:divBdr>
        <w:top w:val="none" w:sz="0" w:space="0" w:color="auto"/>
        <w:left w:val="none" w:sz="0" w:space="0" w:color="auto"/>
        <w:bottom w:val="none" w:sz="0" w:space="0" w:color="auto"/>
        <w:right w:val="none" w:sz="0" w:space="0" w:color="auto"/>
      </w:divBdr>
      <w:divsChild>
        <w:div w:id="855770690">
          <w:marLeft w:val="0"/>
          <w:marRight w:val="0"/>
          <w:marTop w:val="0"/>
          <w:marBottom w:val="567"/>
          <w:divBdr>
            <w:top w:val="none" w:sz="0" w:space="0" w:color="auto"/>
            <w:left w:val="none" w:sz="0" w:space="0" w:color="auto"/>
            <w:bottom w:val="none" w:sz="0" w:space="0" w:color="auto"/>
            <w:right w:val="none" w:sz="0" w:space="0" w:color="auto"/>
          </w:divBdr>
        </w:div>
        <w:div w:id="1576552544">
          <w:marLeft w:val="0"/>
          <w:marRight w:val="0"/>
          <w:marTop w:val="0"/>
          <w:marBottom w:val="567"/>
          <w:divBdr>
            <w:top w:val="none" w:sz="0" w:space="0" w:color="auto"/>
            <w:left w:val="none" w:sz="0" w:space="0" w:color="auto"/>
            <w:bottom w:val="none" w:sz="0" w:space="0" w:color="auto"/>
            <w:right w:val="none" w:sz="0" w:space="0" w:color="auto"/>
          </w:divBdr>
        </w:div>
        <w:div w:id="1650281573">
          <w:marLeft w:val="0"/>
          <w:marRight w:val="0"/>
          <w:marTop w:val="480"/>
          <w:marBottom w:val="240"/>
          <w:divBdr>
            <w:top w:val="none" w:sz="0" w:space="0" w:color="auto"/>
            <w:left w:val="none" w:sz="0" w:space="0" w:color="auto"/>
            <w:bottom w:val="none" w:sz="0" w:space="0" w:color="auto"/>
            <w:right w:val="none" w:sz="0" w:space="0" w:color="auto"/>
          </w:divBdr>
        </w:div>
      </w:divsChild>
    </w:div>
    <w:div w:id="878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0B9F-7C1C-407A-BD9B-0D3A8729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2977</Words>
  <Characters>1698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M.Reinbergs</cp:lastModifiedBy>
  <cp:revision>2</cp:revision>
  <cp:lastPrinted>2017-12-12T12:38:00Z</cp:lastPrinted>
  <dcterms:created xsi:type="dcterms:W3CDTF">2018-09-18T13:47:00Z</dcterms:created>
  <dcterms:modified xsi:type="dcterms:W3CDTF">2018-09-18T13:47:00Z</dcterms:modified>
</cp:coreProperties>
</file>