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5A4B" w14:textId="71E81D2A" w:rsidR="006B4F75" w:rsidRPr="00077875" w:rsidRDefault="006B4F75" w:rsidP="006B4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077875">
        <w:rPr>
          <w:rFonts w:ascii="Times New Roman" w:eastAsia="Times New Roman" w:hAnsi="Times New Roman" w:cs="Times New Roman"/>
          <w:sz w:val="24"/>
          <w:szCs w:val="24"/>
          <w:lang w:eastAsia="lv-LV"/>
        </w:rPr>
        <w:t>. pielikums</w:t>
      </w:r>
    </w:p>
    <w:p w14:paraId="0A62F4D9" w14:textId="7E973F00" w:rsidR="006B4F75" w:rsidRPr="00077875" w:rsidRDefault="00610E00" w:rsidP="006B4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13.08.2021. rīkojumam</w:t>
      </w:r>
      <w:r w:rsidR="006B4F75" w:rsidRPr="000778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 </w:t>
      </w:r>
      <w:r w:rsidRPr="00610E00">
        <w:rPr>
          <w:rFonts w:ascii="Times New Roman" w:eastAsia="Times New Roman" w:hAnsi="Times New Roman" w:cs="Times New Roman"/>
          <w:sz w:val="24"/>
          <w:szCs w:val="24"/>
          <w:lang w:eastAsia="lv-LV"/>
        </w:rPr>
        <w:t>1-3.1/33</w:t>
      </w:r>
    </w:p>
    <w:p w14:paraId="27C949F1" w14:textId="77777777" w:rsidR="006B4F75" w:rsidRDefault="006B4F75" w:rsidP="00A00C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DDBA4B9" w14:textId="7BF00FD6" w:rsidR="00F96E20" w:rsidRPr="00177DDF" w:rsidRDefault="00284014" w:rsidP="00284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Hlk68178593"/>
      <w:r w:rsidRPr="00177D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Jauno klientu </w:t>
      </w:r>
      <w:r w:rsidR="00C439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ēku </w:t>
      </w:r>
      <w:r w:rsidRPr="00177D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pieslēgšanas kārtība Ventspils </w:t>
      </w:r>
      <w:r w:rsidRPr="00177D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centralizētajai siltumapgādes sistēmai</w:t>
      </w:r>
    </w:p>
    <w:bookmarkEnd w:id="0"/>
    <w:p w14:paraId="34D3C35E" w14:textId="481C8FF8" w:rsidR="00F416C2" w:rsidRDefault="00F865C2" w:rsidP="001A567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Vispārējie nosacījumi.</w:t>
      </w:r>
    </w:p>
    <w:p w14:paraId="6C530610" w14:textId="666C1580" w:rsidR="00F865C2" w:rsidRDefault="00F865C2" w:rsidP="00F865C2">
      <w:pPr>
        <w:pStyle w:val="ListParagraph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865C2">
        <w:rPr>
          <w:rFonts w:ascii="Times New Roman" w:eastAsia="Times New Roman" w:hAnsi="Times New Roman" w:cs="Times New Roman"/>
          <w:sz w:val="24"/>
          <w:szCs w:val="24"/>
          <w:lang w:eastAsia="lv-LV"/>
        </w:rPr>
        <w:t>Jauno klientu ēku pieslēgšanas kārtība Ventspils centralizētajai siltumapgādes sistēmai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attiecas tikai uz individuālajiem pieslēgumiem (individuālais pieslēgums ir tāds pieslēgums pie </w:t>
      </w:r>
      <w:r w:rsidR="00642D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vairs netiek pieslēgts cits klients)</w:t>
      </w:r>
    </w:p>
    <w:p w14:paraId="5E4B197C" w14:textId="5CE254EB" w:rsidR="008231FA" w:rsidRPr="001A5676" w:rsidRDefault="00F96E20" w:rsidP="001A567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Lai potenciālais klients</w:t>
      </w:r>
      <w:r w:rsidR="00284014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</w:t>
      </w:r>
      <w:r w:rsidR="00A17410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r w:rsidR="00284014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7410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284014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lients) </w:t>
      </w:r>
      <w:r w:rsidR="00C6646F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varētu pieslēgt</w:t>
      </w:r>
      <w:r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savu īpašumu </w:t>
      </w:r>
      <w:r w:rsidR="008231FA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 </w:t>
      </w:r>
      <w:r w:rsidR="00A17410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Ventspils </w:t>
      </w:r>
      <w:r w:rsidR="008231FA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pilsētas centralizēt</w:t>
      </w:r>
      <w:r w:rsid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8231FA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siltumapgādes sistēmas, </w:t>
      </w:r>
      <w:r w:rsidR="00E22495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Klients iesniedz </w:t>
      </w:r>
      <w:r w:rsidR="008231FA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SIA „Ventspils siltums”</w:t>
      </w:r>
      <w:r w:rsidR="00F4691E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</w:t>
      </w:r>
      <w:r w:rsidR="00A17410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r w:rsidR="00F4691E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17410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4691E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iegādātājs) </w:t>
      </w:r>
      <w:r w:rsidR="008231FA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</w:t>
      </w:r>
      <w:r w:rsidR="00422681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8231FA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(pieejams šeit:</w:t>
      </w:r>
      <w:r w:rsidR="00D752AF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</w:t>
      </w:r>
      <w:r w:rsidR="008231FA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), pievienojot šādus dokumentus:</w:t>
      </w:r>
    </w:p>
    <w:p w14:paraId="021D8071" w14:textId="0E86FBC5" w:rsidR="008231FA" w:rsidRPr="00177DDF" w:rsidRDefault="008231FA" w:rsidP="006D34F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īpašuma tiesību apliecinošu dokumentu </w:t>
      </w:r>
      <w:r w:rsidR="00E22495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kopiju 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(vairāku īpašnieku gadījumā uz iesnieguma nepieciešams īpašnieku </w:t>
      </w:r>
      <w:r w:rsidR="00963F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to pilnvaroto personu 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saskaņojums par pieslēguma izbūvi);</w:t>
      </w:r>
    </w:p>
    <w:p w14:paraId="40D53316" w14:textId="6A778B67" w:rsidR="008231FA" w:rsidRPr="00177DDF" w:rsidRDefault="008231FA" w:rsidP="00B1667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gabala plāna kopij</w:t>
      </w:r>
      <w:r w:rsidR="00E22495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B16671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pieslēdzamo objektu </w:t>
      </w:r>
      <w:r w:rsidR="00991659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B16671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atzīmēt</w:t>
      </w:r>
      <w:r w:rsidR="00991659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B16671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siltummezgla iespējamo atrašanas vietu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15AA23" w14:textId="5623B05A" w:rsidR="00394013" w:rsidRPr="00177DDF" w:rsidRDefault="008231FA" w:rsidP="006D34F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ēkas inventarizācijas lietas 1.stāva plāna </w:t>
      </w:r>
      <w:r w:rsidR="00E22495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kopiju </w:t>
      </w:r>
      <w:r w:rsidR="00EF604E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ar atzīmēto siltummezgla iespējamo atrašanas vietu</w:t>
      </w:r>
      <w:r w:rsidR="005D4ED9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02CD4B6" w14:textId="77777777" w:rsidR="00394013" w:rsidRPr="00177DDF" w:rsidRDefault="00394013" w:rsidP="006D34F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informācija par pieslēdzamā objekta paredzamo</w:t>
      </w:r>
      <w:r w:rsidR="00590CC1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siltuma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jaudu</w:t>
      </w:r>
      <w:r w:rsidR="00991BBC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apkurei,</w:t>
      </w:r>
      <w:r w:rsidR="00590CC1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karsta</w:t>
      </w:r>
      <w:r w:rsidR="00991BBC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ja</w:t>
      </w:r>
      <w:r w:rsidR="00590CC1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m ūdenim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991BBC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ēkas 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tehniskajiem parametriem</w:t>
      </w:r>
      <w:r w:rsidR="00590CC1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(ēkas izmēriem)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6D752B3" w14:textId="4FE98A11" w:rsidR="00730DDB" w:rsidRPr="00177DDF" w:rsidRDefault="00F4691E" w:rsidP="00642D6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Piegādātājs</w:t>
      </w:r>
      <w:r w:rsidR="00E22495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</w:t>
      </w:r>
      <w:r w:rsidR="00606F59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E22495" w:rsidRPr="001A5676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norādītā iesnieguma saņemšanas</w:t>
      </w:r>
      <w:r w:rsidR="00730DDB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BF2FE8E" w14:textId="77777777" w:rsidR="00642D63" w:rsidRDefault="00642D63" w:rsidP="00642D63">
      <w:pPr>
        <w:pStyle w:val="ListParagraph"/>
        <w:numPr>
          <w:ilvl w:val="1"/>
          <w:numId w:val="4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</w:t>
      </w:r>
      <w:r w:rsidR="006E0EFE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sagatavo iespējamo trasējuma variantu un</w:t>
      </w:r>
      <w:r w:rsidR="00991BBC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,</w:t>
      </w:r>
      <w:r w:rsidR="006E0EFE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balstoties uz siltumtrases būvniecības</w:t>
      </w:r>
      <w:r w:rsidR="005D4ED9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vidējā</w:t>
      </w:r>
      <w:r w:rsidR="00A86FB1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m </w:t>
      </w:r>
      <w:r w:rsidR="006E0EFE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izmaksām</w:t>
      </w:r>
      <w:r w:rsidR="00991BBC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,</w:t>
      </w:r>
      <w:r w:rsidR="006E0EFE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</w:t>
      </w:r>
      <w:r w:rsidR="00620017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aprēķina aptuvenās siltumtrases ierīkošanas izmaksas</w:t>
      </w:r>
      <w:r w:rsidR="00730DDB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Klienta norādītajam objektam</w:t>
      </w:r>
      <w:r w:rsidR="00620017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14:paraId="61608513" w14:textId="77777777" w:rsidR="00642D63" w:rsidRDefault="00620017" w:rsidP="00642D63">
      <w:pPr>
        <w:pStyle w:val="ListParagraph"/>
        <w:numPr>
          <w:ilvl w:val="1"/>
          <w:numId w:val="4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aprēķina prognozēto objekta siltumenerģijas patēriņu gadā (</w:t>
      </w:r>
      <w:proofErr w:type="spellStart"/>
      <w:r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MWh</w:t>
      </w:r>
      <w:proofErr w:type="spellEnd"/>
      <w:r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/gadā)</w:t>
      </w:r>
      <w:r w:rsidR="005D4ED9"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14:paraId="1B96008F" w14:textId="4EDE1F3D" w:rsidR="00620017" w:rsidRPr="00642D63" w:rsidRDefault="00620017" w:rsidP="00642D63">
      <w:pPr>
        <w:pStyle w:val="ListParagraph"/>
        <w:numPr>
          <w:ilvl w:val="1"/>
          <w:numId w:val="4"/>
        </w:numPr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642D6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aprēķina</w:t>
      </w:r>
      <w:r w:rsidR="00182E3B" w:rsidRPr="00642D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Piegādātāja</w:t>
      </w:r>
      <w:r w:rsidRPr="00642D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finansē</w:t>
      </w:r>
      <w:r w:rsidR="00CA67A8" w:rsidRPr="00642D63">
        <w:rPr>
          <w:rFonts w:ascii="Times New Roman" w:eastAsia="Times New Roman" w:hAnsi="Times New Roman" w:cs="Times New Roman"/>
          <w:sz w:val="24"/>
          <w:szCs w:val="24"/>
          <w:lang w:eastAsia="lv-LV"/>
        </w:rPr>
        <w:t>juma summu siltumtrases būvniecībā</w:t>
      </w:r>
      <w:r w:rsidR="00F57570" w:rsidRPr="00642D63">
        <w:rPr>
          <w:rFonts w:ascii="Times New Roman" w:eastAsia="Times New Roman" w:hAnsi="Times New Roman" w:cs="Times New Roman"/>
          <w:sz w:val="24"/>
          <w:szCs w:val="24"/>
          <w:lang w:eastAsia="lv-LV"/>
        </w:rPr>
        <w:t>, pēc</w:t>
      </w:r>
      <w:r w:rsidR="00E22495" w:rsidRPr="00642D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šādas</w:t>
      </w:r>
      <w:r w:rsidR="00F57570" w:rsidRPr="00642D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formulas:</w:t>
      </w:r>
    </w:p>
    <w:p w14:paraId="64A03FD9" w14:textId="12D478B7" w:rsidR="00F57570" w:rsidRPr="00E4111A" w:rsidRDefault="00991BBC" w:rsidP="006D34F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411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VS </w:t>
      </w:r>
      <w:r w:rsidR="00A86FB1" w:rsidRPr="00E411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finansējums (EUR) = objekta patēriņš gadā (</w:t>
      </w:r>
      <w:proofErr w:type="spellStart"/>
      <w:r w:rsidR="00A86FB1" w:rsidRPr="00E411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MWh</w:t>
      </w:r>
      <w:proofErr w:type="spellEnd"/>
      <w:r w:rsidR="00A86FB1" w:rsidRPr="00E411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/gadā) </w:t>
      </w:r>
      <w:r w:rsidR="00A86FB1" w:rsidRPr="00177DD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x</w:t>
      </w:r>
      <w:r w:rsidR="00A86FB1" w:rsidRPr="00E411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2585A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517,01</w:t>
      </w:r>
      <w:r w:rsidR="00D957AE" w:rsidRPr="00E411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*</w:t>
      </w:r>
      <w:r w:rsidR="00EE3016" w:rsidRPr="00E411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 siltumtrases garums</w:t>
      </w:r>
      <w:r w:rsidR="001C5469" w:rsidRPr="00E411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(m) </w:t>
      </w:r>
      <w:r w:rsidR="001C5469" w:rsidRPr="00177DD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x</w:t>
      </w:r>
      <w:r w:rsidR="00EE3016" w:rsidRPr="00177DD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258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15,73</w:t>
      </w:r>
      <w:r w:rsidR="001C5469" w:rsidRPr="00E4111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*</w:t>
      </w:r>
    </w:p>
    <w:p w14:paraId="72BE46C3" w14:textId="12FFB5D8" w:rsidR="00D957AE" w:rsidRPr="00177DDF" w:rsidRDefault="00D957AE" w:rsidP="006D34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="00963F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skaitliskie 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koeficient</w:t>
      </w:r>
      <w:r w:rsidR="00C954B8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D34FE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reizi gadā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pārrēķināt</w:t>
      </w:r>
      <w:r w:rsidR="00AF0806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tai brīdī spēkā esošajam tarifam un siltumenerģijas ražošanas un piegādes izmaksām</w:t>
      </w:r>
    </w:p>
    <w:p w14:paraId="306F63BC" w14:textId="77777777" w:rsidR="00610F01" w:rsidRDefault="00991BBC" w:rsidP="00B8583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70403C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EF604E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ūvniecības izmaksas 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lielākas par </w:t>
      </w:r>
      <w:r w:rsidR="009E7B8C" w:rsidRPr="00CA0561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Piegādātāja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finansējumu</w:t>
      </w:r>
      <w:r w:rsidR="00302A3D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70403C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izmaksu </w:t>
      </w:r>
      <w:r w:rsidR="00302A3D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starpību </w:t>
      </w:r>
      <w:r w:rsidR="00EF604E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sedz </w:t>
      </w:r>
      <w:r w:rsidR="00103F6E" w:rsidRPr="00CA0561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F4691E" w:rsidRPr="00CA0561">
        <w:rPr>
          <w:rFonts w:ascii="Times New Roman" w:eastAsia="Times New Roman" w:hAnsi="Times New Roman" w:cs="Times New Roman"/>
          <w:sz w:val="24"/>
          <w:szCs w:val="24"/>
          <w:lang w:eastAsia="lv-LV"/>
        </w:rPr>
        <w:t>lient</w:t>
      </w:r>
      <w:r w:rsidR="00302A3D" w:rsidRPr="00CA056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EF604E"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F301336" w14:textId="77777777" w:rsidR="00610F01" w:rsidRDefault="00846420" w:rsidP="00B8583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103F6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F4691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lients </w:t>
      </w:r>
      <w:r w:rsidR="00590CC1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iepriekš minētiem nosacījumiem</w:t>
      </w:r>
      <w:r w:rsidR="00D752AF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, tad</w:t>
      </w:r>
      <w:r w:rsidR="009E7B8C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Piegādātāja tehniskās daļas speciālisti sagatavo tehniskos noteikumus, un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E7B8C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Klients noslēdz vienošanos ar Piegādātāju par būvprojekta izstrādes organizēšanu, pieslēguma ierīkošanas finansēšanas kārtību un pieslēguma ierīkošanas gaitu.</w:t>
      </w:r>
      <w:r w:rsidR="009E7B8C" w:rsidRPr="00610F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9E7B8C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paraugs pieejams šeit ________.</w:t>
      </w:r>
    </w:p>
    <w:p w14:paraId="0949C205" w14:textId="3AA4BAD4" w:rsidR="00610F01" w:rsidRDefault="00154A82" w:rsidP="00B8583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tehnisko noteikumu saņemšanas </w:t>
      </w:r>
      <w:r w:rsidR="00103F6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Klients</w:t>
      </w:r>
      <w:r w:rsidR="00103F6E" w:rsidRPr="002205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20552">
        <w:rPr>
          <w:rFonts w:ascii="Times New Roman" w:eastAsia="Times New Roman" w:hAnsi="Times New Roman" w:cs="Times New Roman"/>
          <w:sz w:val="24"/>
          <w:szCs w:val="24"/>
          <w:lang w:eastAsia="lv-LV"/>
        </w:rPr>
        <w:t>griežas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sertificēta siltumtrases projektētāja, ka</w:t>
      </w:r>
      <w:r w:rsidR="00B623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veiks siltumtrases būvniecības </w:t>
      </w:r>
      <w:r w:rsidR="004A64A7">
        <w:rPr>
          <w:rFonts w:ascii="Times New Roman" w:eastAsia="Times New Roman" w:hAnsi="Times New Roman" w:cs="Times New Roman"/>
          <w:sz w:val="24"/>
          <w:szCs w:val="24"/>
          <w:lang w:eastAsia="lv-LV"/>
        </w:rPr>
        <w:t>ieceres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dokumentācijas izstrādi un saskaņošanu.</w:t>
      </w:r>
      <w:r w:rsidR="004D5740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940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Dokumentācijā jābūt ietvertai arī materiālu specifikācijai un </w:t>
      </w:r>
      <w:r w:rsidR="003940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detalizētai </w:t>
      </w:r>
      <w:r w:rsidR="006E0EF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materiālu un būvdarbu tāmei. </w:t>
      </w:r>
      <w:r w:rsidR="003940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Būvprojekta</w:t>
      </w:r>
      <w:r w:rsidR="00302A3D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dokumentācijas izstrādi apmaksā</w:t>
      </w:r>
      <w:r w:rsidR="003940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03F6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Klients</w:t>
      </w:r>
      <w:r w:rsidR="003940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012C92A" w14:textId="70B3B955" w:rsidR="00B85834" w:rsidRDefault="00B8583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D83DAE" w14:textId="2109C339" w:rsidR="00610F01" w:rsidRDefault="00D752AF" w:rsidP="00B85834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Pēc būv</w:t>
      </w:r>
      <w:r w:rsidR="00B623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niecības </w:t>
      </w:r>
      <w:r w:rsidR="00610E00">
        <w:rPr>
          <w:rFonts w:ascii="Times New Roman" w:eastAsia="Times New Roman" w:hAnsi="Times New Roman" w:cs="Times New Roman"/>
          <w:sz w:val="24"/>
          <w:szCs w:val="24"/>
          <w:lang w:eastAsia="lv-LV"/>
        </w:rPr>
        <w:t>ieceres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dokumentācijas saņemšanas</w:t>
      </w:r>
      <w:r w:rsidR="00103F6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mēneša laikā </w:t>
      </w:r>
      <w:r w:rsidR="00103F6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Piegādātājs</w:t>
      </w:r>
      <w:r w:rsidR="0070403C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izsludina iepirkumu</w:t>
      </w:r>
      <w:r w:rsidR="0070403C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siltumtrases būvniecībai. </w:t>
      </w:r>
      <w:r w:rsidR="007516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70403C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alstoties uz</w:t>
      </w:r>
      <w:r w:rsidR="007516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iepirkuma rezultātu un</w:t>
      </w:r>
      <w:r w:rsidR="0070403C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faktiskajām būvniecības izmaksām, tiek 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noslēgt</w:t>
      </w:r>
      <w:r w:rsidR="0070389C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E7B8C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pieslēguma līgums starp Klientu un Piegādātāju</w:t>
      </w:r>
      <w:r w:rsidR="007516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9E7B8C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kurā atrunā</w:t>
      </w:r>
      <w:r w:rsidR="007516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B6C4EFA" w14:textId="77777777" w:rsidR="00610F01" w:rsidRPr="00610F01" w:rsidRDefault="009E7B8C" w:rsidP="00B85834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Klient</w:t>
      </w:r>
      <w:r w:rsidR="00AF0806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Pie</w:t>
      </w:r>
      <w:r w:rsidR="00AE375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gādātāj</w:t>
      </w:r>
      <w:r w:rsidR="00AF0806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AE375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finansējuma daļas</w:t>
      </w:r>
      <w:r w:rsidR="007516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7B12020" w14:textId="5556C11A" w:rsidR="00610F01" w:rsidRPr="00610F01" w:rsidRDefault="00AE3754" w:rsidP="00B85834">
      <w:pPr>
        <w:pStyle w:val="ListParagraph"/>
        <w:numPr>
          <w:ilvl w:val="1"/>
          <w:numId w:val="5"/>
        </w:numPr>
        <w:spacing w:after="120" w:line="240" w:lineRule="auto"/>
        <w:ind w:left="1775" w:hanging="357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Pieslēguma līgums ir spēkā līdz brīdim, kad Klienta </w:t>
      </w:r>
      <w:r w:rsidR="007755D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kopējais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patērētais siltumenerģijas daudzums </w:t>
      </w:r>
      <w:r w:rsidR="00AC48D2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sasniedz</w:t>
      </w:r>
      <w:r w:rsidR="00610F01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="00610E00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610F01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MWh</w:t>
      </w:r>
      <w:proofErr w:type="spellEnd"/>
      <w:r w:rsidR="00610F01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tiek noteikts sekojoši:</w:t>
      </w:r>
    </w:p>
    <w:p w14:paraId="27DFC762" w14:textId="312A2E9D" w:rsidR="00610F01" w:rsidRPr="00610F01" w:rsidRDefault="00AE3754" w:rsidP="00B85834">
      <w:pPr>
        <w:pStyle w:val="ListParagraph"/>
        <w:spacing w:before="120" w:after="120" w:line="240" w:lineRule="auto"/>
        <w:ind w:left="178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objekta patēriņš gadā (</w:t>
      </w:r>
      <w:proofErr w:type="spellStart"/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MWh</w:t>
      </w:r>
      <w:proofErr w:type="spellEnd"/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/gadā)x</w:t>
      </w:r>
      <w:r w:rsidR="007755D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13 gadi.</w:t>
      </w:r>
    </w:p>
    <w:p w14:paraId="62E3EB48" w14:textId="4EF0D1E5" w:rsidR="00AE3754" w:rsidRPr="00610F01" w:rsidRDefault="00BD5342" w:rsidP="00B85834">
      <w:pPr>
        <w:pStyle w:val="ListParagraph"/>
        <w:numPr>
          <w:ilvl w:val="1"/>
          <w:numId w:val="5"/>
        </w:numPr>
        <w:spacing w:after="120" w:line="240" w:lineRule="auto"/>
        <w:ind w:left="1775" w:hanging="357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Pieslēguma l</w:t>
      </w:r>
      <w:r w:rsidR="0041512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īgums </w:t>
      </w:r>
      <w:r w:rsidR="0065070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var tikt</w:t>
      </w:r>
      <w:r w:rsidR="0041512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755D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pārtraukts, ja divus gadus</w:t>
      </w:r>
      <w:r w:rsidR="0041512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755D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kārtas </w:t>
      </w:r>
      <w:r w:rsidR="0041512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Klienta siltumenerģijas gada patēriņš </w:t>
      </w:r>
      <w:r w:rsidR="007755D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  <w:r w:rsidR="0041512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mazāk</w:t>
      </w:r>
      <w:r w:rsidR="001D7C5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41512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50% no finansējum</w:t>
      </w:r>
      <w:r w:rsidR="001D7C5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1512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aprēķinos pieņemto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7C5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objekta patēriņu gadā </w:t>
      </w:r>
      <w:r w:rsidR="0041512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="0041512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MWh</w:t>
      </w:r>
      <w:proofErr w:type="spellEnd"/>
      <w:r w:rsidR="00415124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/gadā</w:t>
      </w:r>
      <w:r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D952D0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65070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Pārtraucot</w:t>
      </w:r>
      <w:r w:rsidR="00D952D0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pieslēguma līgumu Klientam </w:t>
      </w:r>
      <w:r w:rsidR="0065070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jāatlīdzina</w:t>
      </w:r>
      <w:r w:rsidR="00D952D0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Piegādātājam</w:t>
      </w:r>
      <w:r w:rsidR="007516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piešķirtais </w:t>
      </w:r>
      <w:r w:rsidR="0065070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finansējums</w:t>
      </w:r>
      <w:r w:rsidR="00751613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siltumtrases izbūvei</w:t>
      </w:r>
      <w:r w:rsidR="0065070E" w:rsidRPr="00610F01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tiek noteikts sekojoši:</w:t>
      </w:r>
    </w:p>
    <w:p w14:paraId="5CC61919" w14:textId="1757AAE7" w:rsidR="00D952D0" w:rsidRPr="00642D63" w:rsidRDefault="00105D40" w:rsidP="00D952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Atlīdzināmā summa (EUR) = </w:t>
      </w:r>
      <w:r w:rsidR="00D952D0"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VS finansējums (EUR) </w:t>
      </w:r>
      <w:r w:rsidRPr="00177DD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x </w:t>
      </w:r>
      <w:r w:rsidR="005C45E0" w:rsidRPr="00177DD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((</w:t>
      </w:r>
      <w:r w:rsidR="005C45E0"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objekta patēriņš gadā (</w:t>
      </w:r>
      <w:proofErr w:type="spellStart"/>
      <w:r w:rsidR="005C45E0"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MWh</w:t>
      </w:r>
      <w:proofErr w:type="spellEnd"/>
      <w:r w:rsidR="005C45E0"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/gadā)</w:t>
      </w:r>
      <w:r w:rsidR="005C45E0" w:rsidRPr="00177DD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x</w:t>
      </w:r>
      <w:r w:rsidR="005C45E0"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13 gadi) - </w:t>
      </w:r>
      <w:r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objekta faktiskais patēriņš (</w:t>
      </w:r>
      <w:proofErr w:type="spellStart"/>
      <w:r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MWh</w:t>
      </w:r>
      <w:proofErr w:type="spellEnd"/>
      <w:r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5C45E0"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952D0"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/ </w:t>
      </w:r>
      <w:r w:rsidR="00D952D0" w:rsidRPr="00177DD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</w:t>
      </w:r>
      <w:r w:rsidR="00D952D0"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objekta patēriņš gadā (</w:t>
      </w:r>
      <w:proofErr w:type="spellStart"/>
      <w:r w:rsidR="00D952D0"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MWh</w:t>
      </w:r>
      <w:proofErr w:type="spellEnd"/>
      <w:r w:rsidR="00D952D0"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/gadā)</w:t>
      </w:r>
      <w:r w:rsidR="00D952D0" w:rsidRPr="00177DD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x</w:t>
      </w:r>
      <w:r w:rsidR="0065070E" w:rsidRPr="00642D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13 gadi)</w:t>
      </w:r>
    </w:p>
    <w:p w14:paraId="36BDBC29" w14:textId="49A6323E" w:rsidR="00400B9F" w:rsidRPr="00177DDF" w:rsidRDefault="009E7B8C" w:rsidP="00B85834">
      <w:pPr>
        <w:pStyle w:val="ListParagraph"/>
        <w:numPr>
          <w:ilvl w:val="0"/>
          <w:numId w:val="3"/>
        </w:numPr>
        <w:spacing w:after="48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pieslēguma līguma noslēgšanas un pieslēguma maksas daļas, kas jāmaksā </w:t>
      </w:r>
      <w:r w:rsidRPr="00642D63">
        <w:rPr>
          <w:rFonts w:ascii="Times New Roman" w:eastAsia="Times New Roman" w:hAnsi="Times New Roman" w:cs="Times New Roman"/>
          <w:sz w:val="24"/>
          <w:szCs w:val="24"/>
          <w:lang w:eastAsia="lv-LV"/>
        </w:rPr>
        <w:t>Klientam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saņemšanas, </w:t>
      </w:r>
      <w:r w:rsidRPr="00642D63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Piegādātājs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pieslēguma</w:t>
      </w:r>
      <w:r w:rsidRPr="00642D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77DDF">
        <w:rPr>
          <w:rFonts w:ascii="Times New Roman" w:eastAsia="Times New Roman" w:hAnsi="Times New Roman" w:cs="Times New Roman"/>
          <w:sz w:val="24"/>
          <w:szCs w:val="24"/>
          <w:lang w:eastAsia="lv-LV"/>
        </w:rPr>
        <w:t>ierīkošanai noslēdz līgumu ar būvkomersantu par būvdarbu izpildi.</w:t>
      </w:r>
    </w:p>
    <w:p w14:paraId="7B077855" w14:textId="68A04EC9" w:rsidR="00610E00" w:rsidRDefault="00610E00" w:rsidP="004244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GoBack"/>
      <w:bookmarkEnd w:id="1"/>
    </w:p>
    <w:p w14:paraId="68FB633D" w14:textId="7980C419" w:rsidR="00610E00" w:rsidRDefault="00610E00" w:rsidP="004244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Tehniskais direktors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E.Bonfelds</w:t>
      </w:r>
      <w:proofErr w:type="spellEnd"/>
    </w:p>
    <w:p w14:paraId="5BEFF8FA" w14:textId="202F7F71" w:rsidR="00610E00" w:rsidRDefault="00610E00" w:rsidP="004244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38C5C0" w14:textId="45B7C529" w:rsidR="00610E00" w:rsidRPr="00177DDF" w:rsidRDefault="00610E00" w:rsidP="004244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 direktors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E.Vītols</w:t>
      </w:r>
      <w:proofErr w:type="spellEnd"/>
    </w:p>
    <w:sectPr w:rsidR="00610E00" w:rsidRPr="00177DDF" w:rsidSect="00890FE7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0277A" w16cex:dateUtc="2021-04-01T08:05:00Z"/>
  <w16cex:commentExtensible w16cex:durableId="24104B6C" w16cex:dateUtc="2021-04-01T10:38:00Z"/>
  <w16cex:commentExtensible w16cex:durableId="241024E0" w16cex:dateUtc="2021-04-01T07:54:00Z"/>
  <w16cex:commentExtensible w16cex:durableId="24101FF7" w16cex:dateUtc="2021-04-01T07:33:00Z"/>
  <w16cex:commentExtensible w16cex:durableId="2410256A" w16cex:dateUtc="2021-04-01T07:56:00Z"/>
  <w16cex:commentExtensible w16cex:durableId="24104193" w16cex:dateUtc="2021-04-01T09:56:00Z"/>
  <w16cex:commentExtensible w16cex:durableId="24104D9A" w16cex:dateUtc="2021-04-01T10:48:00Z"/>
  <w16cex:commentExtensible w16cex:durableId="24102696" w16cex:dateUtc="2021-04-01T08:01:00Z"/>
  <w16cex:commentExtensible w16cex:durableId="24102E0F" w16cex:dateUtc="2021-04-01T08:33:00Z"/>
  <w16cex:commentExtensible w16cex:durableId="24102E92" w16cex:dateUtc="2021-04-01T08:35:00Z"/>
  <w16cex:commentExtensible w16cex:durableId="24102F20" w16cex:dateUtc="2021-04-01T08:38:00Z"/>
  <w16cex:commentExtensible w16cex:durableId="24103AB1" w16cex:dateUtc="2021-04-01T09:27:00Z"/>
  <w16cex:commentExtensible w16cex:durableId="24103290" w16cex:dateUtc="2021-04-01T08:52:00Z"/>
  <w16cex:commentExtensible w16cex:durableId="241035D3" w16cex:dateUtc="2021-04-01T09:06:00Z"/>
  <w16cex:commentExtensible w16cex:durableId="241031E6" w16cex:dateUtc="2021-04-01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77E553" w16cid:durableId="2410277A"/>
  <w16cid:commentId w16cid:paraId="4A983F29" w16cid:durableId="24104B6C"/>
  <w16cid:commentId w16cid:paraId="727C9118" w16cid:durableId="241024E0"/>
  <w16cid:commentId w16cid:paraId="0E7D1932" w16cid:durableId="24101FF7"/>
  <w16cid:commentId w16cid:paraId="68395EE1" w16cid:durableId="2410256A"/>
  <w16cid:commentId w16cid:paraId="28A8859B" w16cid:durableId="24104193"/>
  <w16cid:commentId w16cid:paraId="6C9BA039" w16cid:durableId="24104D9A"/>
  <w16cid:commentId w16cid:paraId="27CC38CC" w16cid:durableId="24102696"/>
  <w16cid:commentId w16cid:paraId="3301CA5C" w16cid:durableId="24102E0F"/>
  <w16cid:commentId w16cid:paraId="59C75B92" w16cid:durableId="24102E92"/>
  <w16cid:commentId w16cid:paraId="10B0B511" w16cid:durableId="24102F20"/>
  <w16cid:commentId w16cid:paraId="3773B1EF" w16cid:durableId="24103AB1"/>
  <w16cid:commentId w16cid:paraId="30F7223D" w16cid:durableId="24103290"/>
  <w16cid:commentId w16cid:paraId="6A2BFB38" w16cid:durableId="241035D3"/>
  <w16cid:commentId w16cid:paraId="59339C24" w16cid:durableId="241031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6F3"/>
    <w:multiLevelType w:val="hybridMultilevel"/>
    <w:tmpl w:val="4FCEFE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0A96"/>
    <w:multiLevelType w:val="multilevel"/>
    <w:tmpl w:val="9EC2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E2F9D"/>
    <w:multiLevelType w:val="multilevel"/>
    <w:tmpl w:val="AB9E6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590733C4"/>
    <w:multiLevelType w:val="multilevel"/>
    <w:tmpl w:val="224AC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u w:val="none"/>
      </w:rPr>
    </w:lvl>
  </w:abstractNum>
  <w:abstractNum w:abstractNumId="4" w15:restartNumberingAfterBreak="0">
    <w:nsid w:val="65EF4681"/>
    <w:multiLevelType w:val="multilevel"/>
    <w:tmpl w:val="01D2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FA"/>
    <w:rsid w:val="00036060"/>
    <w:rsid w:val="000B3E6D"/>
    <w:rsid w:val="000D436B"/>
    <w:rsid w:val="000F2C85"/>
    <w:rsid w:val="00103F6E"/>
    <w:rsid w:val="00105952"/>
    <w:rsid w:val="00105D40"/>
    <w:rsid w:val="00143F34"/>
    <w:rsid w:val="00154A82"/>
    <w:rsid w:val="00177DDF"/>
    <w:rsid w:val="00182E3B"/>
    <w:rsid w:val="001A5676"/>
    <w:rsid w:val="001C5469"/>
    <w:rsid w:val="001D4FDE"/>
    <w:rsid w:val="001D7C5E"/>
    <w:rsid w:val="00220552"/>
    <w:rsid w:val="00242A94"/>
    <w:rsid w:val="002459D5"/>
    <w:rsid w:val="00284014"/>
    <w:rsid w:val="0029339B"/>
    <w:rsid w:val="002E19B7"/>
    <w:rsid w:val="00302A3D"/>
    <w:rsid w:val="00315D1E"/>
    <w:rsid w:val="00394013"/>
    <w:rsid w:val="00400B9F"/>
    <w:rsid w:val="00415124"/>
    <w:rsid w:val="00422681"/>
    <w:rsid w:val="0042441D"/>
    <w:rsid w:val="00432A91"/>
    <w:rsid w:val="00472C14"/>
    <w:rsid w:val="004A64A7"/>
    <w:rsid w:val="004D5740"/>
    <w:rsid w:val="005042A1"/>
    <w:rsid w:val="0057241F"/>
    <w:rsid w:val="00590CC1"/>
    <w:rsid w:val="005A2ED4"/>
    <w:rsid w:val="005B3896"/>
    <w:rsid w:val="005C45E0"/>
    <w:rsid w:val="005D4ED9"/>
    <w:rsid w:val="00606F59"/>
    <w:rsid w:val="00610E00"/>
    <w:rsid w:val="00610F01"/>
    <w:rsid w:val="00620017"/>
    <w:rsid w:val="00642D63"/>
    <w:rsid w:val="0065070E"/>
    <w:rsid w:val="00686F8C"/>
    <w:rsid w:val="006B4F75"/>
    <w:rsid w:val="006D34FE"/>
    <w:rsid w:val="006E0EFE"/>
    <w:rsid w:val="006E6791"/>
    <w:rsid w:val="0070389C"/>
    <w:rsid w:val="0070403C"/>
    <w:rsid w:val="00730DDB"/>
    <w:rsid w:val="00751613"/>
    <w:rsid w:val="00762C67"/>
    <w:rsid w:val="007755D3"/>
    <w:rsid w:val="00792605"/>
    <w:rsid w:val="00807462"/>
    <w:rsid w:val="008231FA"/>
    <w:rsid w:val="008254FD"/>
    <w:rsid w:val="00846420"/>
    <w:rsid w:val="00890FE7"/>
    <w:rsid w:val="008B6A34"/>
    <w:rsid w:val="00963F48"/>
    <w:rsid w:val="00973C30"/>
    <w:rsid w:val="00991659"/>
    <w:rsid w:val="00991BBC"/>
    <w:rsid w:val="009D0AB7"/>
    <w:rsid w:val="009E7B8C"/>
    <w:rsid w:val="00A00CE7"/>
    <w:rsid w:val="00A17410"/>
    <w:rsid w:val="00A86FB1"/>
    <w:rsid w:val="00AC48D2"/>
    <w:rsid w:val="00AE3754"/>
    <w:rsid w:val="00AF0806"/>
    <w:rsid w:val="00B16671"/>
    <w:rsid w:val="00B55426"/>
    <w:rsid w:val="00B61E51"/>
    <w:rsid w:val="00B623EA"/>
    <w:rsid w:val="00B85834"/>
    <w:rsid w:val="00BC113B"/>
    <w:rsid w:val="00BD5342"/>
    <w:rsid w:val="00BE6808"/>
    <w:rsid w:val="00C4390A"/>
    <w:rsid w:val="00C6646F"/>
    <w:rsid w:val="00C954B8"/>
    <w:rsid w:val="00CA0561"/>
    <w:rsid w:val="00CA67A8"/>
    <w:rsid w:val="00CD15CC"/>
    <w:rsid w:val="00CD63E1"/>
    <w:rsid w:val="00D54CB7"/>
    <w:rsid w:val="00D752AF"/>
    <w:rsid w:val="00D952D0"/>
    <w:rsid w:val="00D957AE"/>
    <w:rsid w:val="00E22495"/>
    <w:rsid w:val="00E4111A"/>
    <w:rsid w:val="00E82515"/>
    <w:rsid w:val="00EA5142"/>
    <w:rsid w:val="00EC131E"/>
    <w:rsid w:val="00EE3016"/>
    <w:rsid w:val="00EF604E"/>
    <w:rsid w:val="00EF7634"/>
    <w:rsid w:val="00F2585A"/>
    <w:rsid w:val="00F416C2"/>
    <w:rsid w:val="00F4691E"/>
    <w:rsid w:val="00F57570"/>
    <w:rsid w:val="00F865C2"/>
    <w:rsid w:val="00F96E20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F23A4"/>
  <w15:docId w15:val="{F28D640A-DDC8-4463-8CA9-B7C0D39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7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4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5977-0D2A-4FC0-8379-648B550E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ebonfelds</dc:creator>
  <cp:lastModifiedBy>scernova</cp:lastModifiedBy>
  <cp:revision>4</cp:revision>
  <cp:lastPrinted>2021-08-13T08:40:00Z</cp:lastPrinted>
  <dcterms:created xsi:type="dcterms:W3CDTF">2021-08-13T08:45:00Z</dcterms:created>
  <dcterms:modified xsi:type="dcterms:W3CDTF">2021-08-16T10:15:00Z</dcterms:modified>
</cp:coreProperties>
</file>